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55" w:rsidRDefault="006E4855" w:rsidP="00C213EF">
      <w:pPr>
        <w:jc w:val="center"/>
        <w:rPr>
          <w:b/>
          <w:bCs/>
          <w:color w:val="EE0000"/>
        </w:rPr>
      </w:pPr>
    </w:p>
    <w:p w:rsidR="006E4855" w:rsidRDefault="006E4855" w:rsidP="00C213EF">
      <w:pPr>
        <w:jc w:val="center"/>
        <w:rPr>
          <w:b/>
          <w:bCs/>
          <w:color w:val="EE0000"/>
        </w:rPr>
      </w:pPr>
    </w:p>
    <w:p w:rsidR="006E4855" w:rsidRDefault="006E4855" w:rsidP="00C213EF">
      <w:pPr>
        <w:jc w:val="center"/>
        <w:rPr>
          <w:b/>
          <w:bCs/>
          <w:color w:val="EE0000"/>
        </w:rPr>
      </w:pPr>
    </w:p>
    <w:p w:rsidR="00F83E33" w:rsidRDefault="00C213EF" w:rsidP="00F06147">
      <w:pPr>
        <w:jc w:val="center"/>
        <w:rPr>
          <w:b/>
          <w:bCs/>
          <w:color w:val="EE0000"/>
        </w:rPr>
      </w:pPr>
      <w:r w:rsidRPr="00F83E33">
        <w:rPr>
          <w:b/>
          <w:bCs/>
          <w:color w:val="EE0000"/>
        </w:rPr>
        <w:t xml:space="preserve">LOS </w:t>
      </w:r>
      <w:r w:rsidR="00026D25" w:rsidRPr="00F83E33">
        <w:rPr>
          <w:b/>
          <w:bCs/>
          <w:color w:val="EE0000"/>
        </w:rPr>
        <w:t>PRINCIPALES INDICADORES</w:t>
      </w:r>
      <w:r w:rsidRPr="00F83E33">
        <w:rPr>
          <w:b/>
          <w:bCs/>
          <w:color w:val="EE0000"/>
        </w:rPr>
        <w:t xml:space="preserve"> DE POBREZA EN 202</w:t>
      </w:r>
      <w:r w:rsidR="00BC1238">
        <w:rPr>
          <w:b/>
          <w:bCs/>
          <w:color w:val="EE0000"/>
        </w:rPr>
        <w:t>5</w:t>
      </w:r>
    </w:p>
    <w:p w:rsidR="00527225" w:rsidRDefault="00527225" w:rsidP="00527225">
      <w:pPr>
        <w:ind w:left="708" w:hanging="708"/>
        <w:jc w:val="center"/>
        <w:rPr>
          <w:b/>
          <w:bCs/>
          <w:color w:val="EE0000"/>
        </w:rPr>
      </w:pPr>
    </w:p>
    <w:p w:rsidR="00FF7B27" w:rsidRDefault="00A058D0">
      <w:pPr>
        <w:pStyle w:val="TDC1"/>
        <w:tabs>
          <w:tab w:val="right" w:leader="dot" w:pos="8494"/>
        </w:tabs>
        <w:rPr>
          <w:rFonts w:asciiTheme="minorHAnsi" w:eastAsiaTheme="minorEastAsia" w:hAnsiTheme="minorHAnsi"/>
          <w:noProof/>
          <w:lang w:eastAsia="es-ES"/>
        </w:rPr>
      </w:pPr>
      <w:r>
        <w:rPr>
          <w:b/>
          <w:bCs/>
          <w:color w:val="EE0000"/>
        </w:rPr>
        <w:fldChar w:fldCharType="begin"/>
      </w:r>
      <w:r w:rsidR="00FF7B27">
        <w:rPr>
          <w:b/>
          <w:bCs/>
          <w:color w:val="EE0000"/>
        </w:rPr>
        <w:instrText xml:space="preserve"> TOC \o "1-3" \h \z \u </w:instrText>
      </w:r>
      <w:r>
        <w:rPr>
          <w:b/>
          <w:bCs/>
          <w:color w:val="EE0000"/>
        </w:rPr>
        <w:fldChar w:fldCharType="separate"/>
      </w:r>
      <w:hyperlink w:anchor="_Toc211528559" w:history="1">
        <w:r w:rsidR="00FF7B27" w:rsidRPr="00CE5EFB">
          <w:rPr>
            <w:rStyle w:val="Hipervnculo"/>
            <w:noProof/>
          </w:rPr>
          <w:t>TASA AROPE EN ESPAÑA EN 2024 Y SU EVOLUCIÓN</w:t>
        </w:r>
        <w:r w:rsidR="00FF7B2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F7B27">
          <w:rPr>
            <w:noProof/>
            <w:webHidden/>
          </w:rPr>
          <w:instrText xml:space="preserve"> PAGEREF _Toc211528559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7B27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F7B27" w:rsidRDefault="00A058D0">
      <w:pPr>
        <w:pStyle w:val="TDC1"/>
        <w:tabs>
          <w:tab w:val="right" w:leader="dot" w:pos="8494"/>
        </w:tabs>
        <w:rPr>
          <w:rFonts w:asciiTheme="minorHAnsi" w:eastAsiaTheme="minorEastAsia" w:hAnsiTheme="minorHAnsi"/>
          <w:noProof/>
          <w:lang w:eastAsia="es-ES"/>
        </w:rPr>
      </w:pPr>
      <w:hyperlink w:anchor="_Toc211528560" w:history="1">
        <w:r w:rsidR="00FF7B27" w:rsidRPr="00CE5EFB">
          <w:rPr>
            <w:rStyle w:val="Hipervnculo"/>
            <w:noProof/>
          </w:rPr>
          <w:t>ASPECTOS QUE MIDE LA TASA AROPE</w:t>
        </w:r>
        <w:r w:rsidR="00FF7B2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F7B27">
          <w:rPr>
            <w:noProof/>
            <w:webHidden/>
          </w:rPr>
          <w:instrText xml:space="preserve"> PAGEREF _Toc211528560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7B27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F7B27" w:rsidRDefault="00A058D0">
      <w:pPr>
        <w:pStyle w:val="TDC2"/>
        <w:tabs>
          <w:tab w:val="right" w:leader="dot" w:pos="8494"/>
        </w:tabs>
        <w:rPr>
          <w:rFonts w:asciiTheme="minorHAnsi" w:eastAsiaTheme="minorEastAsia" w:hAnsiTheme="minorHAnsi"/>
          <w:noProof/>
          <w:lang w:eastAsia="es-ES"/>
        </w:rPr>
      </w:pPr>
      <w:hyperlink w:anchor="_Toc211528561" w:history="1">
        <w:r w:rsidR="00FF7B27" w:rsidRPr="00CE5EFB">
          <w:rPr>
            <w:rStyle w:val="Hipervnculo"/>
            <w:noProof/>
          </w:rPr>
          <w:t>La extensión de la pobreza monetaria (60% de la renta mediana)</w:t>
        </w:r>
        <w:r w:rsidR="00FF7B2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F7B27">
          <w:rPr>
            <w:noProof/>
            <w:webHidden/>
          </w:rPr>
          <w:instrText xml:space="preserve"> PAGEREF _Toc211528561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7B2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F7B27" w:rsidRDefault="00A058D0">
      <w:pPr>
        <w:pStyle w:val="TDC2"/>
        <w:tabs>
          <w:tab w:val="right" w:leader="dot" w:pos="8494"/>
        </w:tabs>
        <w:rPr>
          <w:rFonts w:asciiTheme="minorHAnsi" w:eastAsiaTheme="minorEastAsia" w:hAnsiTheme="minorHAnsi"/>
          <w:noProof/>
          <w:lang w:eastAsia="es-ES"/>
        </w:rPr>
      </w:pPr>
      <w:hyperlink w:anchor="_Toc211528562" w:history="1">
        <w:r w:rsidR="00FF7B27" w:rsidRPr="00CE5EFB">
          <w:rPr>
            <w:rStyle w:val="Hipervnculo"/>
            <w:noProof/>
          </w:rPr>
          <w:t>La carencia material y social severa</w:t>
        </w:r>
        <w:r w:rsidR="00FF7B2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F7B27">
          <w:rPr>
            <w:noProof/>
            <w:webHidden/>
          </w:rPr>
          <w:instrText xml:space="preserve"> PAGEREF _Toc211528562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7B2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F7B27" w:rsidRDefault="00A058D0">
      <w:pPr>
        <w:pStyle w:val="TDC1"/>
        <w:tabs>
          <w:tab w:val="right" w:leader="dot" w:pos="8494"/>
        </w:tabs>
        <w:rPr>
          <w:rFonts w:asciiTheme="minorHAnsi" w:eastAsiaTheme="minorEastAsia" w:hAnsiTheme="minorHAnsi"/>
          <w:noProof/>
          <w:lang w:eastAsia="es-ES"/>
        </w:rPr>
      </w:pPr>
      <w:hyperlink w:anchor="_Toc211528563" w:history="1">
        <w:r w:rsidR="00FF7B27" w:rsidRPr="00CE5EFB">
          <w:rPr>
            <w:rStyle w:val="Hipervnculo"/>
            <w:noProof/>
          </w:rPr>
          <w:t>LA POBREZA MONETARIA SEVERA (40% DE LA RENTA MEDIANA)</w:t>
        </w:r>
        <w:r w:rsidR="00FF7B2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F7B27">
          <w:rPr>
            <w:noProof/>
            <w:webHidden/>
          </w:rPr>
          <w:instrText xml:space="preserve"> PAGEREF _Toc211528563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7B2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F7B27" w:rsidRDefault="00A058D0">
      <w:pPr>
        <w:pStyle w:val="TDC1"/>
        <w:tabs>
          <w:tab w:val="right" w:leader="dot" w:pos="8494"/>
        </w:tabs>
        <w:rPr>
          <w:rFonts w:asciiTheme="minorHAnsi" w:eastAsiaTheme="minorEastAsia" w:hAnsiTheme="minorHAnsi"/>
          <w:noProof/>
          <w:lang w:eastAsia="es-ES"/>
        </w:rPr>
      </w:pPr>
      <w:hyperlink w:anchor="_Toc211528564" w:history="1">
        <w:r w:rsidR="00FF7B27" w:rsidRPr="00CE5EFB">
          <w:rPr>
            <w:rStyle w:val="Hipervnculo"/>
            <w:noProof/>
          </w:rPr>
          <w:t>EL IMPACTO DE LAS TRANSFERENCIAS DEL ESTADO</w:t>
        </w:r>
        <w:r w:rsidR="00FF7B2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F7B27">
          <w:rPr>
            <w:noProof/>
            <w:webHidden/>
          </w:rPr>
          <w:instrText xml:space="preserve"> PAGEREF _Toc211528564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7B2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27225" w:rsidRDefault="00A058D0" w:rsidP="00527225">
      <w:pPr>
        <w:ind w:left="708" w:hanging="708"/>
        <w:jc w:val="center"/>
        <w:rPr>
          <w:b/>
          <w:bCs/>
          <w:color w:val="EE0000"/>
        </w:rPr>
      </w:pPr>
      <w:r>
        <w:rPr>
          <w:b/>
          <w:bCs/>
          <w:color w:val="EE0000"/>
        </w:rPr>
        <w:fldChar w:fldCharType="end"/>
      </w:r>
    </w:p>
    <w:p w:rsidR="00527225" w:rsidRDefault="00527225" w:rsidP="00527225">
      <w:pPr>
        <w:ind w:left="708" w:hanging="708"/>
        <w:jc w:val="center"/>
        <w:rPr>
          <w:b/>
          <w:bCs/>
          <w:color w:val="EE0000"/>
        </w:rPr>
      </w:pPr>
    </w:p>
    <w:p w:rsidR="00527225" w:rsidRPr="00F83E33" w:rsidRDefault="00527225" w:rsidP="00527225">
      <w:pPr>
        <w:ind w:left="708" w:hanging="708"/>
        <w:jc w:val="center"/>
        <w:rPr>
          <w:b/>
          <w:bCs/>
          <w:color w:val="EE0000"/>
        </w:rPr>
      </w:pPr>
    </w:p>
    <w:p w:rsidR="00527225" w:rsidRDefault="00527225">
      <w:pPr>
        <w:jc w:val="left"/>
      </w:pPr>
      <w:r>
        <w:br w:type="page"/>
      </w:r>
    </w:p>
    <w:p w:rsidR="00404949" w:rsidRDefault="00404949" w:rsidP="00F83E33">
      <w:pPr>
        <w:pStyle w:val="Ttulo1"/>
      </w:pPr>
    </w:p>
    <w:p w:rsidR="0053748C" w:rsidRDefault="00F83E33" w:rsidP="00F83E33">
      <w:pPr>
        <w:pStyle w:val="Ttulo1"/>
      </w:pPr>
      <w:bookmarkStart w:id="0" w:name="_Toc211528559"/>
      <w:r>
        <w:t>TASA AROPE EN ESPAÑA EN 2024 Y</w:t>
      </w:r>
      <w:r w:rsidR="00BC1238">
        <w:t xml:space="preserve"> SU</w:t>
      </w:r>
      <w:r>
        <w:t xml:space="preserve"> E</w:t>
      </w:r>
      <w:r w:rsidRPr="001F0722">
        <w:t>VOLUCIÓN</w:t>
      </w:r>
      <w:bookmarkEnd w:id="0"/>
      <w:r w:rsidRPr="001F0722">
        <w:t xml:space="preserve"> </w:t>
      </w:r>
    </w:p>
    <w:p w:rsidR="00FD53F8" w:rsidRPr="00260678" w:rsidRDefault="00FD53F8" w:rsidP="00FD53F8">
      <w:pPr>
        <w:rPr>
          <w:rFonts w:cs="Calibri"/>
        </w:rPr>
      </w:pPr>
      <w:r w:rsidRPr="00260678">
        <w:rPr>
          <w:rFonts w:cs="Calibri"/>
        </w:rPr>
        <w:t xml:space="preserve">En </w:t>
      </w:r>
      <w:r w:rsidR="00794DF7">
        <w:rPr>
          <w:rFonts w:cs="Calibri"/>
        </w:rPr>
        <w:t xml:space="preserve">España </w:t>
      </w:r>
      <w:r w:rsidR="00B12B2B">
        <w:rPr>
          <w:rFonts w:cs="Calibri"/>
        </w:rPr>
        <w:t>un total de 12,5 millones de personas</w:t>
      </w:r>
      <w:r w:rsidRPr="00260678">
        <w:rPr>
          <w:rFonts w:cs="Calibri"/>
        </w:rPr>
        <w:t xml:space="preserve"> se encontraba</w:t>
      </w:r>
      <w:r w:rsidR="00B12B2B">
        <w:rPr>
          <w:rFonts w:cs="Calibri"/>
        </w:rPr>
        <w:t>n</w:t>
      </w:r>
      <w:r w:rsidRPr="00260678">
        <w:rPr>
          <w:rFonts w:cs="Calibri"/>
        </w:rPr>
        <w:t xml:space="preserve"> en riesgo de pobreza y exclusión social</w:t>
      </w:r>
      <w:r w:rsidR="00794DF7">
        <w:rPr>
          <w:rFonts w:cs="Calibri"/>
        </w:rPr>
        <w:t xml:space="preserve"> en 2024</w:t>
      </w:r>
      <w:r w:rsidRPr="00260678">
        <w:rPr>
          <w:rFonts w:cs="Calibri"/>
        </w:rPr>
        <w:t>, de acuerdo con el indicador europeo AROPE (</w:t>
      </w:r>
      <w:r w:rsidRPr="00260678">
        <w:rPr>
          <w:rFonts w:cs="Calibri"/>
          <w:i/>
          <w:iCs/>
        </w:rPr>
        <w:t xml:space="preserve">At </w:t>
      </w:r>
      <w:proofErr w:type="spellStart"/>
      <w:r w:rsidRPr="00260678">
        <w:rPr>
          <w:rFonts w:cs="Calibri"/>
          <w:i/>
          <w:iCs/>
        </w:rPr>
        <w:t>Risk</w:t>
      </w:r>
      <w:proofErr w:type="spellEnd"/>
      <w:r w:rsidRPr="00260678">
        <w:rPr>
          <w:rFonts w:cs="Calibri"/>
          <w:i/>
          <w:iCs/>
        </w:rPr>
        <w:t xml:space="preserve"> of </w:t>
      </w:r>
      <w:proofErr w:type="spellStart"/>
      <w:r w:rsidRPr="00260678">
        <w:rPr>
          <w:rFonts w:cs="Calibri"/>
          <w:i/>
          <w:iCs/>
        </w:rPr>
        <w:t>Poverty</w:t>
      </w:r>
      <w:proofErr w:type="spellEnd"/>
      <w:r w:rsidRPr="00260678">
        <w:rPr>
          <w:rFonts w:cs="Calibri"/>
          <w:i/>
          <w:iCs/>
        </w:rPr>
        <w:t xml:space="preserve"> and/</w:t>
      </w:r>
      <w:proofErr w:type="spellStart"/>
      <w:r w:rsidRPr="00260678">
        <w:rPr>
          <w:rFonts w:cs="Calibri"/>
          <w:i/>
          <w:iCs/>
        </w:rPr>
        <w:t>or</w:t>
      </w:r>
      <w:proofErr w:type="spellEnd"/>
      <w:r w:rsidRPr="00260678">
        <w:rPr>
          <w:rFonts w:cs="Calibri"/>
          <w:i/>
          <w:iCs/>
        </w:rPr>
        <w:t xml:space="preserve"> </w:t>
      </w:r>
      <w:proofErr w:type="spellStart"/>
      <w:r w:rsidRPr="00260678">
        <w:rPr>
          <w:rFonts w:cs="Calibri"/>
          <w:i/>
          <w:iCs/>
        </w:rPr>
        <w:t>Exclusion</w:t>
      </w:r>
      <w:proofErr w:type="spellEnd"/>
      <w:r w:rsidRPr="00260678">
        <w:rPr>
          <w:rFonts w:cs="Calibri"/>
        </w:rPr>
        <w:t>)</w:t>
      </w:r>
      <w:r w:rsidR="00794DF7">
        <w:rPr>
          <w:rFonts w:cs="Calibri"/>
        </w:rPr>
        <w:t>.</w:t>
      </w:r>
      <w:r w:rsidR="002D0F57">
        <w:rPr>
          <w:rFonts w:cs="Calibri"/>
        </w:rPr>
        <w:t xml:space="preserve"> </w:t>
      </w:r>
      <w:r w:rsidR="00B12B2B">
        <w:rPr>
          <w:rFonts w:cs="Calibri"/>
        </w:rPr>
        <w:t xml:space="preserve">En porcentaje esto supone el 25,8% de la población, </w:t>
      </w:r>
      <w:r w:rsidR="002D0F57">
        <w:rPr>
          <w:rFonts w:cs="Calibri"/>
        </w:rPr>
        <w:t>la cifra más baja desde 201</w:t>
      </w:r>
      <w:r w:rsidR="00DE4481">
        <w:rPr>
          <w:rFonts w:cs="Calibri"/>
        </w:rPr>
        <w:t>4</w:t>
      </w:r>
      <w:r w:rsidR="00794DF7">
        <w:rPr>
          <w:rFonts w:cs="Calibri"/>
        </w:rPr>
        <w:t>, tal como se aprecia en el gráfico siguiente</w:t>
      </w:r>
      <w:r w:rsidR="002D0F57">
        <w:rPr>
          <w:rFonts w:cs="Calibri"/>
        </w:rPr>
        <w:t>.</w:t>
      </w:r>
      <w:r w:rsidR="00794DF7">
        <w:rPr>
          <w:rFonts w:cs="Calibri"/>
        </w:rPr>
        <w:t xml:space="preserve"> </w:t>
      </w:r>
    </w:p>
    <w:p w:rsidR="00991579" w:rsidRDefault="00991579" w:rsidP="0099157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s-ES"/>
        </w:rPr>
      </w:pPr>
    </w:p>
    <w:p w:rsidR="00DE4481" w:rsidRDefault="00DE4481" w:rsidP="0099157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s-ES"/>
        </w:rPr>
      </w:pPr>
      <w:r>
        <w:rPr>
          <w:b/>
          <w:bCs/>
          <w:noProof/>
          <w:lang w:eastAsia="es-ES"/>
        </w:rPr>
        <w:drawing>
          <wp:inline distT="0" distB="0" distL="0" distR="0">
            <wp:extent cx="4584700" cy="2755900"/>
            <wp:effectExtent l="0" t="0" r="6350" b="6350"/>
            <wp:docPr id="1871343785" name="Imagen 4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343785" name="Imagen 4" descr="Gráfico, Gráfico de líneas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4867" w:rsidRDefault="00374867" w:rsidP="0099157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s-ES"/>
        </w:rPr>
      </w:pPr>
    </w:p>
    <w:p w:rsidR="00374867" w:rsidRDefault="00374867" w:rsidP="0099157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s-ES"/>
        </w:rPr>
      </w:pPr>
    </w:p>
    <w:p w:rsidR="00794DF7" w:rsidRPr="00260678" w:rsidRDefault="00794DF7" w:rsidP="00794DF7">
      <w:pPr>
        <w:rPr>
          <w:rFonts w:cs="Calibri"/>
        </w:rPr>
      </w:pPr>
      <w:r>
        <w:rPr>
          <w:rFonts w:cs="Calibri"/>
        </w:rPr>
        <w:t>La tasa AROPE</w:t>
      </w:r>
      <w:r w:rsidR="00A260E4">
        <w:rPr>
          <w:rFonts w:cs="Calibri"/>
        </w:rPr>
        <w:t>,</w:t>
      </w:r>
      <w:r>
        <w:rPr>
          <w:rFonts w:cs="Calibri"/>
        </w:rPr>
        <w:t xml:space="preserve"> sus componentes </w:t>
      </w:r>
      <w:r w:rsidR="00A260E4">
        <w:rPr>
          <w:rFonts w:cs="Calibri"/>
        </w:rPr>
        <w:t xml:space="preserve">y el resto de indicadores que se utilizan en este informe </w:t>
      </w:r>
      <w:r>
        <w:rPr>
          <w:rFonts w:cs="Calibri"/>
        </w:rPr>
        <w:t>se miden a través de la Encuesta de Condiciones de Vida</w:t>
      </w:r>
      <w:r w:rsidR="00026EC9">
        <w:rPr>
          <w:rFonts w:cs="Calibri"/>
        </w:rPr>
        <w:t xml:space="preserve"> (ECV)</w:t>
      </w:r>
      <w:r>
        <w:rPr>
          <w:rFonts w:cs="Calibri"/>
        </w:rPr>
        <w:t xml:space="preserve"> del INE</w:t>
      </w:r>
      <w:r w:rsidRPr="00260678">
        <w:rPr>
          <w:rFonts w:cs="Calibri"/>
        </w:rPr>
        <w:t>.</w:t>
      </w:r>
      <w:r w:rsidR="00A260E4">
        <w:rPr>
          <w:rFonts w:cs="Calibri"/>
        </w:rPr>
        <w:t xml:space="preserve"> La última edición de esta encuesta se publicó en febrero de 2025 y los datos de ingresos corresponden a la renta del año anterior</w:t>
      </w:r>
      <w:r w:rsidR="00280A4B">
        <w:rPr>
          <w:rFonts w:cs="Calibri"/>
        </w:rPr>
        <w:t xml:space="preserve"> a la entrevista</w:t>
      </w:r>
      <w:r w:rsidR="00A260E4">
        <w:rPr>
          <w:rFonts w:cs="Calibri"/>
        </w:rPr>
        <w:t xml:space="preserve">. </w:t>
      </w:r>
      <w:r w:rsidR="00026EC9">
        <w:rPr>
          <w:rFonts w:cs="Calibri"/>
        </w:rPr>
        <w:t>Se trata de una encuesta que se realiza en toda la UE con una metodología similar.</w:t>
      </w:r>
    </w:p>
    <w:p w:rsidR="00776D3B" w:rsidRDefault="00515F38" w:rsidP="00F83E33">
      <w:pPr>
        <w:pStyle w:val="Ttulo1"/>
        <w:rPr>
          <w:b w:val="0"/>
        </w:rPr>
      </w:pPr>
      <w:bookmarkStart w:id="1" w:name="_Toc211528560"/>
      <w:r>
        <w:t xml:space="preserve">ASPECTOS QUE MIDE LA TASA </w:t>
      </w:r>
      <w:r w:rsidR="00776D3B">
        <w:t>AROPE</w:t>
      </w:r>
      <w:bookmarkEnd w:id="1"/>
    </w:p>
    <w:p w:rsidR="0096531A" w:rsidRPr="00260678" w:rsidRDefault="0096531A" w:rsidP="001A2B4F">
      <w:pPr>
        <w:rPr>
          <w:rFonts w:cs="Calibri"/>
        </w:rPr>
      </w:pPr>
      <w:r w:rsidRPr="00260678">
        <w:rPr>
          <w:rFonts w:cs="Calibri"/>
        </w:rPr>
        <w:t xml:space="preserve">El indicador AROPE consta de tres componentes que miden diferentes aspectos. </w:t>
      </w:r>
      <w:r w:rsidR="00617040">
        <w:rPr>
          <w:rFonts w:cs="Calibri"/>
        </w:rPr>
        <w:t>S</w:t>
      </w:r>
      <w:r w:rsidRPr="00260678">
        <w:rPr>
          <w:rFonts w:cs="Calibri"/>
        </w:rPr>
        <w:t>e considera población en riesgo de pobreza o exclusión social aquella que está en alguna de las siguientes situaciones</w:t>
      </w:r>
      <w:r w:rsidR="00A260E4">
        <w:rPr>
          <w:rFonts w:cs="Calibri"/>
        </w:rPr>
        <w:t xml:space="preserve"> (tabla 1)</w:t>
      </w:r>
      <w:r w:rsidRPr="00260678">
        <w:rPr>
          <w:rFonts w:cs="Calibri"/>
        </w:rPr>
        <w:t>:</w:t>
      </w:r>
    </w:p>
    <w:p w:rsidR="0096531A" w:rsidRPr="00F549D6" w:rsidRDefault="001A1443" w:rsidP="0096531A">
      <w:pPr>
        <w:numPr>
          <w:ilvl w:val="0"/>
          <w:numId w:val="2"/>
        </w:numPr>
        <w:rPr>
          <w:rFonts w:cs="Calibri"/>
        </w:rPr>
      </w:pPr>
      <w:r>
        <w:rPr>
          <w:rFonts w:cs="Calibri"/>
          <w:b/>
          <w:bCs/>
        </w:rPr>
        <w:t xml:space="preserve">Pobreza monetaria. </w:t>
      </w:r>
      <w:r w:rsidR="0096531A" w:rsidRPr="00260678">
        <w:rPr>
          <w:rFonts w:cs="Calibri"/>
        </w:rPr>
        <w:t>Con ingresos inferiores a</w:t>
      </w:r>
      <w:r w:rsidR="00037506">
        <w:rPr>
          <w:rFonts w:cs="Calibri"/>
        </w:rPr>
        <w:t xml:space="preserve"> la cantidad establecida como </w:t>
      </w:r>
      <w:r w:rsidR="0096531A" w:rsidRPr="00260678">
        <w:rPr>
          <w:rFonts w:cs="Calibri"/>
        </w:rPr>
        <w:t>umbral de pobreza</w:t>
      </w:r>
      <w:r w:rsidR="00037506">
        <w:rPr>
          <w:rFonts w:cs="Calibri"/>
        </w:rPr>
        <w:t xml:space="preserve">. </w:t>
      </w:r>
      <w:r w:rsidR="00037506">
        <w:t>Eurostat fija</w:t>
      </w:r>
      <w:r w:rsidR="00A260E4">
        <w:t xml:space="preserve"> dicho </w:t>
      </w:r>
      <w:r w:rsidR="00037506">
        <w:t xml:space="preserve">umbral en el 60% de la mediana de ingresos. En 2024 esta cantidad para un hogar unipersonal asciende a </w:t>
      </w:r>
      <w:r w:rsidR="004817C7">
        <w:t>827</w:t>
      </w:r>
      <w:r w:rsidR="00037506">
        <w:t xml:space="preserve"> euros al mes </w:t>
      </w:r>
      <w:r w:rsidR="0094035D">
        <w:t>(</w:t>
      </w:r>
      <w:r w:rsidR="00037506">
        <w:t>11.584 euros al año</w:t>
      </w:r>
      <w:r w:rsidR="004817C7">
        <w:t xml:space="preserve"> en 14</w:t>
      </w:r>
      <w:r w:rsidR="00DB732D">
        <w:t xml:space="preserve"> mensualidades</w:t>
      </w:r>
      <w:r w:rsidR="0094035D">
        <w:t>)</w:t>
      </w:r>
      <w:r w:rsidR="00037506">
        <w:t>.</w:t>
      </w:r>
      <w:r>
        <w:t xml:space="preserve"> </w:t>
      </w:r>
    </w:p>
    <w:p w:rsidR="001A2B4F" w:rsidRDefault="00F549D6" w:rsidP="00374867">
      <w:pPr>
        <w:pStyle w:val="Prrafodelista"/>
        <w:ind w:left="360"/>
      </w:pPr>
      <w:r>
        <w:lastRenderedPageBreak/>
        <w:t>En 2024, el 19,7% de la población está en riesgo de pobreza monetaria</w:t>
      </w:r>
      <w:r w:rsidR="00026EC9">
        <w:t xml:space="preserve">, cifra que </w:t>
      </w:r>
      <w:r>
        <w:t xml:space="preserve"> corresponde a 9</w:t>
      </w:r>
      <w:r w:rsidR="00026EC9">
        <w:t>,5 millones de perso</w:t>
      </w:r>
      <w:r>
        <w:t xml:space="preserve">nas. </w:t>
      </w:r>
      <w:r w:rsidR="00026EC9">
        <w:t xml:space="preserve">Es el componente de la tasa AROPE que afecta a más población. </w:t>
      </w:r>
    </w:p>
    <w:p w:rsidR="001A2B4F" w:rsidRDefault="001A2B4F" w:rsidP="001A2B4F">
      <w:pPr>
        <w:pStyle w:val="Prrafodelista"/>
      </w:pPr>
    </w:p>
    <w:p w:rsidR="0096531A" w:rsidRDefault="0096531A" w:rsidP="001A2B4F">
      <w:pPr>
        <w:pStyle w:val="Prrafodelista"/>
        <w:numPr>
          <w:ilvl w:val="0"/>
          <w:numId w:val="4"/>
        </w:numPr>
        <w:rPr>
          <w:rFonts w:cs="Calibri"/>
        </w:rPr>
      </w:pPr>
      <w:r w:rsidRPr="00260678">
        <w:rPr>
          <w:rFonts w:cs="Calibri"/>
        </w:rPr>
        <w:t xml:space="preserve">En </w:t>
      </w:r>
      <w:r w:rsidRPr="001A1443">
        <w:rPr>
          <w:rFonts w:cs="Calibri"/>
          <w:b/>
          <w:bCs/>
        </w:rPr>
        <w:t>carencia material y social severa</w:t>
      </w:r>
      <w:r w:rsidR="00037506">
        <w:rPr>
          <w:rFonts w:cs="Calibri"/>
        </w:rPr>
        <w:t xml:space="preserve">. Se trata de población con </w:t>
      </w:r>
      <w:r w:rsidRPr="00260678">
        <w:rPr>
          <w:rFonts w:cs="Calibri"/>
        </w:rPr>
        <w:t>carencia en al menos 7 conceptos de una lista de 13</w:t>
      </w:r>
      <w:r w:rsidR="00037506">
        <w:rPr>
          <w:rFonts w:cs="Calibri"/>
        </w:rPr>
        <w:t xml:space="preserve"> que se consideran necesarios y deseables para </w:t>
      </w:r>
      <w:r w:rsidR="0047603F">
        <w:rPr>
          <w:rFonts w:cs="Calibri"/>
        </w:rPr>
        <w:t>llevar un nivel de vida adecuado.</w:t>
      </w:r>
    </w:p>
    <w:p w:rsidR="00F549D6" w:rsidRDefault="00F549D6" w:rsidP="001A2B4F">
      <w:pPr>
        <w:ind w:left="360"/>
      </w:pPr>
      <w:r>
        <w:t>En 2024, el 8,3% de la población, unos 4 millones de personas, viven en carencia material y social severa.</w:t>
      </w:r>
    </w:p>
    <w:p w:rsidR="0096531A" w:rsidRPr="00260678" w:rsidRDefault="0096531A" w:rsidP="0096531A">
      <w:pPr>
        <w:numPr>
          <w:ilvl w:val="0"/>
          <w:numId w:val="2"/>
        </w:numPr>
        <w:rPr>
          <w:rFonts w:cs="Calibri"/>
        </w:rPr>
      </w:pPr>
      <w:r w:rsidRPr="00260678">
        <w:rPr>
          <w:rFonts w:cs="Calibri"/>
        </w:rPr>
        <w:t xml:space="preserve">En </w:t>
      </w:r>
      <w:r w:rsidRPr="001A1443">
        <w:rPr>
          <w:rFonts w:cs="Calibri"/>
          <w:b/>
          <w:bCs/>
        </w:rPr>
        <w:t>hogares sin empleo o con baja intensidad en el empleo</w:t>
      </w:r>
      <w:r w:rsidR="0047603F">
        <w:rPr>
          <w:rFonts w:cs="Calibri"/>
        </w:rPr>
        <w:t>. Se definen como tales aquellos en</w:t>
      </w:r>
      <w:r w:rsidRPr="00260678">
        <w:rPr>
          <w:rFonts w:cs="Calibri"/>
        </w:rPr>
        <w:t xml:space="preserve"> los que sus miembros en edad de trabajar lo hicieron menos del 20% del total de su potencial de trabajo durante el año de referencia.</w:t>
      </w:r>
    </w:p>
    <w:p w:rsidR="0096531A" w:rsidRPr="00327E73" w:rsidRDefault="00F549D6" w:rsidP="001A2B4F">
      <w:pPr>
        <w:ind w:left="360"/>
        <w:rPr>
          <w:b/>
          <w:bCs/>
        </w:rPr>
      </w:pPr>
      <w:r>
        <w:t xml:space="preserve">Este componente afecta al 8% de la población en 2024, </w:t>
      </w:r>
      <w:r w:rsidR="00A037FB">
        <w:t>unos 3,8 millones</w:t>
      </w:r>
      <w:r>
        <w:t xml:space="preserve"> de personas. Se trata de la cifra más baja desde 2010</w:t>
      </w:r>
    </w:p>
    <w:p w:rsidR="0009300B" w:rsidRDefault="00515F38" w:rsidP="00776D3B">
      <w:r>
        <w:rPr>
          <w:noProof/>
        </w:rPr>
        <w:t xml:space="preserve">La tabla </w:t>
      </w:r>
      <w:r w:rsidR="00C322B7">
        <w:rPr>
          <w:noProof/>
        </w:rPr>
        <w:t xml:space="preserve">1 </w:t>
      </w:r>
      <w:r w:rsidR="0009300B">
        <w:rPr>
          <w:noProof/>
        </w:rPr>
        <w:t xml:space="preserve">refleja el porcentaje y el volumen de población afectados por cada componente. </w:t>
      </w:r>
    </w:p>
    <w:p w:rsidR="0009300B" w:rsidRPr="0003153F" w:rsidRDefault="0009300B" w:rsidP="00776D3B">
      <w:pPr>
        <w:rPr>
          <w:noProof/>
        </w:rPr>
      </w:pPr>
    </w:p>
    <w:tbl>
      <w:tblPr>
        <w:tblStyle w:val="ListTable6ColorfulAccent2"/>
        <w:tblW w:w="8750" w:type="dxa"/>
        <w:tblLook w:val="04A0"/>
      </w:tblPr>
      <w:tblGrid>
        <w:gridCol w:w="6259"/>
        <w:gridCol w:w="1044"/>
        <w:gridCol w:w="1662"/>
      </w:tblGrid>
      <w:tr w:rsidR="00B67BC4" w:rsidRPr="00BD4616" w:rsidTr="00820C0B">
        <w:trPr>
          <w:cnfStyle w:val="100000000000"/>
          <w:trHeight w:val="610"/>
        </w:trPr>
        <w:tc>
          <w:tcPr>
            <w:cnfStyle w:val="001000000000"/>
            <w:tcW w:w="8750" w:type="dxa"/>
            <w:gridSpan w:val="3"/>
            <w:noWrap/>
            <w:vAlign w:val="center"/>
            <w:hideMark/>
          </w:tcPr>
          <w:p w:rsidR="00B67BC4" w:rsidRPr="00BD4616" w:rsidRDefault="00663598" w:rsidP="00BD4616">
            <w:pPr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 xml:space="preserve">Tabla 1. </w:t>
            </w:r>
            <w:r w:rsidR="00B67BC4" w:rsidRPr="00BD461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Población en riesgo de pobreza o exclusión social</w:t>
            </w:r>
            <w:r w:rsidR="00B67BC4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 xml:space="preserve"> en 2024</w:t>
            </w:r>
            <w:r w:rsidR="00B67BC4" w:rsidRPr="00BD461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 xml:space="preserve"> (objetivo Europa 2030) </w:t>
            </w:r>
          </w:p>
          <w:p w:rsidR="00B67BC4" w:rsidRPr="00BD4616" w:rsidRDefault="00B67BC4" w:rsidP="00BD4616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BD461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Tasa AROPE y sus componentes</w:t>
            </w:r>
            <w:r w:rsidR="0040494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, ECV, 2024</w:t>
            </w:r>
          </w:p>
        </w:tc>
      </w:tr>
      <w:tr w:rsidR="00BD4616" w:rsidRPr="00BD4616" w:rsidTr="00346A46">
        <w:trPr>
          <w:cnfStyle w:val="000000100000"/>
          <w:trHeight w:val="705"/>
        </w:trPr>
        <w:tc>
          <w:tcPr>
            <w:cnfStyle w:val="001000000000"/>
            <w:tcW w:w="6259" w:type="dxa"/>
            <w:noWrap/>
            <w:vAlign w:val="center"/>
            <w:hideMark/>
          </w:tcPr>
          <w:p w:rsidR="00BD4616" w:rsidRPr="00BD4616" w:rsidRDefault="00BD4616" w:rsidP="00BD4616">
            <w:pP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BD461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 xml:space="preserve"> </w:t>
            </w:r>
          </w:p>
        </w:tc>
        <w:tc>
          <w:tcPr>
            <w:tcW w:w="829" w:type="dxa"/>
            <w:noWrap/>
            <w:vAlign w:val="center"/>
            <w:hideMark/>
          </w:tcPr>
          <w:p w:rsidR="00BD4616" w:rsidRPr="00BD4616" w:rsidRDefault="00BD4616" w:rsidP="00BD4616">
            <w:pPr>
              <w:jc w:val="center"/>
              <w:cnfStyle w:val="000000100000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BD461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>%</w:t>
            </w:r>
            <w:r w:rsidR="00C36B9C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 xml:space="preserve"> de personas</w:t>
            </w:r>
          </w:p>
        </w:tc>
        <w:tc>
          <w:tcPr>
            <w:tcW w:w="1662" w:type="dxa"/>
            <w:vAlign w:val="center"/>
            <w:hideMark/>
          </w:tcPr>
          <w:p w:rsidR="00BD4616" w:rsidRPr="00BD4616" w:rsidRDefault="00BD4616" w:rsidP="00BD4616">
            <w:pPr>
              <w:jc w:val="center"/>
              <w:cnfStyle w:val="000000100000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BD461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>Población estimada</w:t>
            </w:r>
          </w:p>
        </w:tc>
      </w:tr>
      <w:tr w:rsidR="00BD4616" w:rsidRPr="00BD4616" w:rsidTr="00346A46">
        <w:trPr>
          <w:trHeight w:val="525"/>
        </w:trPr>
        <w:tc>
          <w:tcPr>
            <w:cnfStyle w:val="001000000000"/>
            <w:tcW w:w="6259" w:type="dxa"/>
            <w:vAlign w:val="center"/>
            <w:hideMark/>
          </w:tcPr>
          <w:p w:rsidR="00BD4616" w:rsidRPr="00BD4616" w:rsidRDefault="00BD4616" w:rsidP="00BD4616">
            <w:pP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BD461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Tasa de riesgo de pobreza o exclusión social (</w:t>
            </w:r>
            <w:r w:rsidR="00B67BC4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tasa</w:t>
            </w:r>
            <w:r w:rsidRPr="00BD461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 xml:space="preserve"> AROPE)</w:t>
            </w:r>
          </w:p>
        </w:tc>
        <w:tc>
          <w:tcPr>
            <w:tcW w:w="829" w:type="dxa"/>
            <w:noWrap/>
            <w:vAlign w:val="center"/>
            <w:hideMark/>
          </w:tcPr>
          <w:p w:rsidR="00BD4616" w:rsidRPr="00BD4616" w:rsidRDefault="00BD4616" w:rsidP="00BD4616">
            <w:pPr>
              <w:jc w:val="right"/>
              <w:cnfStyle w:val="0000000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BD461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25,8</w:t>
            </w:r>
          </w:p>
        </w:tc>
        <w:tc>
          <w:tcPr>
            <w:tcW w:w="1662" w:type="dxa"/>
            <w:noWrap/>
            <w:vAlign w:val="center"/>
            <w:hideMark/>
          </w:tcPr>
          <w:p w:rsidR="00BD4616" w:rsidRPr="00BD4616" w:rsidRDefault="00BD4616" w:rsidP="00BD4616">
            <w:pPr>
              <w:jc w:val="right"/>
              <w:cnfStyle w:val="0000000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BD461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12.452.165</w:t>
            </w:r>
          </w:p>
        </w:tc>
      </w:tr>
      <w:tr w:rsidR="00BD4616" w:rsidRPr="00BD4616" w:rsidTr="00346A46">
        <w:trPr>
          <w:cnfStyle w:val="000000100000"/>
          <w:trHeight w:val="525"/>
        </w:trPr>
        <w:tc>
          <w:tcPr>
            <w:cnfStyle w:val="001000000000"/>
            <w:tcW w:w="6259" w:type="dxa"/>
            <w:vAlign w:val="center"/>
            <w:hideMark/>
          </w:tcPr>
          <w:p w:rsidR="00BD4616" w:rsidRDefault="00BD4616" w:rsidP="00BD4616">
            <w:pP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szCs w:val="22"/>
                <w:lang w:eastAsia="es-ES"/>
              </w:rPr>
            </w:pPr>
            <w:r w:rsidRPr="00BD461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En riesgo de pobreza</w:t>
            </w:r>
            <w:r w:rsidR="00B67BC4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 xml:space="preserve"> monetaria</w:t>
            </w:r>
            <w:r w:rsidRPr="00BD461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 xml:space="preserve"> (renta año anterior a la entrevista)</w:t>
            </w:r>
          </w:p>
          <w:p w:rsidR="00663598" w:rsidRPr="00BD4616" w:rsidRDefault="00663598" w:rsidP="00BD4616">
            <w:pP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(60% de la renta mediana)</w:t>
            </w:r>
          </w:p>
        </w:tc>
        <w:tc>
          <w:tcPr>
            <w:tcW w:w="829" w:type="dxa"/>
            <w:noWrap/>
            <w:vAlign w:val="center"/>
            <w:hideMark/>
          </w:tcPr>
          <w:p w:rsidR="00BD4616" w:rsidRPr="00BD4616" w:rsidRDefault="00BD4616" w:rsidP="00BD4616">
            <w:pPr>
              <w:jc w:val="right"/>
              <w:cnfStyle w:val="0000001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BD461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19,7</w:t>
            </w:r>
          </w:p>
        </w:tc>
        <w:tc>
          <w:tcPr>
            <w:tcW w:w="1662" w:type="dxa"/>
            <w:noWrap/>
            <w:vAlign w:val="center"/>
            <w:hideMark/>
          </w:tcPr>
          <w:p w:rsidR="00BD4616" w:rsidRPr="00BD4616" w:rsidRDefault="00BD4616" w:rsidP="00BD4616">
            <w:pPr>
              <w:jc w:val="right"/>
              <w:cnfStyle w:val="0000001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BD461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9.508.049</w:t>
            </w:r>
          </w:p>
        </w:tc>
      </w:tr>
      <w:tr w:rsidR="00BD4616" w:rsidRPr="00BD4616" w:rsidTr="00346A46">
        <w:trPr>
          <w:trHeight w:val="300"/>
        </w:trPr>
        <w:tc>
          <w:tcPr>
            <w:cnfStyle w:val="001000000000"/>
            <w:tcW w:w="6259" w:type="dxa"/>
            <w:noWrap/>
            <w:vAlign w:val="center"/>
            <w:hideMark/>
          </w:tcPr>
          <w:p w:rsidR="00BD4616" w:rsidRPr="00BD4616" w:rsidRDefault="00BD4616" w:rsidP="00BD4616">
            <w:pP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BD461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Con carencia material y social severa</w:t>
            </w:r>
          </w:p>
        </w:tc>
        <w:tc>
          <w:tcPr>
            <w:tcW w:w="829" w:type="dxa"/>
            <w:noWrap/>
            <w:vAlign w:val="center"/>
            <w:hideMark/>
          </w:tcPr>
          <w:p w:rsidR="00BD4616" w:rsidRPr="00BD4616" w:rsidRDefault="00BD4616" w:rsidP="00BD4616">
            <w:pPr>
              <w:jc w:val="right"/>
              <w:cnfStyle w:val="0000000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BD461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8,3</w:t>
            </w:r>
          </w:p>
        </w:tc>
        <w:tc>
          <w:tcPr>
            <w:tcW w:w="1662" w:type="dxa"/>
            <w:noWrap/>
            <w:vAlign w:val="center"/>
            <w:hideMark/>
          </w:tcPr>
          <w:p w:rsidR="00BD4616" w:rsidRPr="00BD4616" w:rsidRDefault="00BD4616" w:rsidP="00BD4616">
            <w:pPr>
              <w:jc w:val="right"/>
              <w:cnfStyle w:val="0000000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BD461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4.005.929</w:t>
            </w:r>
          </w:p>
        </w:tc>
      </w:tr>
      <w:tr w:rsidR="00BD4616" w:rsidRPr="00BD4616" w:rsidTr="00346A46">
        <w:trPr>
          <w:cnfStyle w:val="000000100000"/>
          <w:trHeight w:val="525"/>
        </w:trPr>
        <w:tc>
          <w:tcPr>
            <w:cnfStyle w:val="001000000000"/>
            <w:tcW w:w="6259" w:type="dxa"/>
            <w:vAlign w:val="center"/>
            <w:hideMark/>
          </w:tcPr>
          <w:p w:rsidR="00BD4616" w:rsidRPr="00BD4616" w:rsidRDefault="00BD4616" w:rsidP="00BD4616">
            <w:pP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BD461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Viviendo en hogares con baja intensidad en el trabajo (de 0 a 64 años)</w:t>
            </w:r>
          </w:p>
        </w:tc>
        <w:tc>
          <w:tcPr>
            <w:tcW w:w="829" w:type="dxa"/>
            <w:noWrap/>
            <w:vAlign w:val="center"/>
            <w:hideMark/>
          </w:tcPr>
          <w:p w:rsidR="00BD4616" w:rsidRPr="00BD4616" w:rsidRDefault="00BD4616" w:rsidP="00BD4616">
            <w:pPr>
              <w:jc w:val="right"/>
              <w:cnfStyle w:val="0000001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BD461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8,0</w:t>
            </w:r>
          </w:p>
        </w:tc>
        <w:tc>
          <w:tcPr>
            <w:tcW w:w="1662" w:type="dxa"/>
            <w:noWrap/>
            <w:vAlign w:val="center"/>
            <w:hideMark/>
          </w:tcPr>
          <w:p w:rsidR="00BD4616" w:rsidRPr="00BD4616" w:rsidRDefault="00BD4616" w:rsidP="00BD4616">
            <w:pPr>
              <w:jc w:val="right"/>
              <w:cnfStyle w:val="0000001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BD461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3.861.136</w:t>
            </w:r>
          </w:p>
        </w:tc>
      </w:tr>
      <w:tr w:rsidR="00BD4616" w:rsidRPr="00BD4616" w:rsidTr="00346A46">
        <w:trPr>
          <w:trHeight w:val="300"/>
        </w:trPr>
        <w:tc>
          <w:tcPr>
            <w:cnfStyle w:val="001000000000"/>
            <w:tcW w:w="6259" w:type="dxa"/>
            <w:vAlign w:val="center"/>
            <w:hideMark/>
          </w:tcPr>
          <w:p w:rsidR="00BD4616" w:rsidRPr="00BD4616" w:rsidRDefault="00BD4616" w:rsidP="00BD4616">
            <w:pP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BD461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Población total</w:t>
            </w:r>
          </w:p>
        </w:tc>
        <w:tc>
          <w:tcPr>
            <w:tcW w:w="829" w:type="dxa"/>
            <w:noWrap/>
            <w:vAlign w:val="center"/>
            <w:hideMark/>
          </w:tcPr>
          <w:p w:rsidR="00BD4616" w:rsidRPr="00BD4616" w:rsidRDefault="00BD4616" w:rsidP="00BD4616">
            <w:pPr>
              <w:cnfStyle w:val="000000000000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1662" w:type="dxa"/>
            <w:noWrap/>
            <w:vAlign w:val="center"/>
            <w:hideMark/>
          </w:tcPr>
          <w:p w:rsidR="00BD4616" w:rsidRPr="00BD4616" w:rsidRDefault="00BD4616" w:rsidP="00BD4616">
            <w:pPr>
              <w:jc w:val="right"/>
              <w:cnfStyle w:val="0000000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BD461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48.264.206</w:t>
            </w:r>
          </w:p>
        </w:tc>
      </w:tr>
    </w:tbl>
    <w:p w:rsidR="00BD4616" w:rsidRDefault="00BD4616" w:rsidP="00776D3B"/>
    <w:p w:rsidR="00AB6B95" w:rsidRDefault="00AB6B95" w:rsidP="00AB6B95">
      <w:pPr>
        <w:rPr>
          <w:noProof/>
        </w:rPr>
      </w:pPr>
      <w:r>
        <w:t>A continuación se revisan con mayor detalle algunos de los indicadores expuestos</w:t>
      </w:r>
      <w:r w:rsidR="00C322B7">
        <w:t xml:space="preserve"> y otros relevantes como la tasa de pobreza</w:t>
      </w:r>
      <w:r w:rsidR="00A037FB">
        <w:t xml:space="preserve"> monetaria</w:t>
      </w:r>
      <w:r w:rsidR="00C322B7">
        <w:t xml:space="preserve"> severa y el papel de las transferencias del Estado </w:t>
      </w:r>
      <w:r w:rsidR="00A037FB">
        <w:t xml:space="preserve">en forma de prestaciones sociales </w:t>
      </w:r>
      <w:r w:rsidR="00C322B7">
        <w:t>en la reducción de la pobreza</w:t>
      </w:r>
      <w:r>
        <w:t xml:space="preserve">. </w:t>
      </w:r>
    </w:p>
    <w:p w:rsidR="00404949" w:rsidRDefault="00404949" w:rsidP="00F83E33">
      <w:pPr>
        <w:pStyle w:val="Ttulo2"/>
      </w:pPr>
    </w:p>
    <w:p w:rsidR="001056BA" w:rsidRPr="001056BA" w:rsidRDefault="00663598" w:rsidP="00F83E33">
      <w:pPr>
        <w:pStyle w:val="Ttulo2"/>
      </w:pPr>
      <w:bookmarkStart w:id="2" w:name="_Toc211528561"/>
      <w:r>
        <w:t>La e</w:t>
      </w:r>
      <w:r w:rsidR="006E5E2F">
        <w:t>xtensión de l</w:t>
      </w:r>
      <w:r w:rsidR="001056BA">
        <w:t>a pobreza monetaria</w:t>
      </w:r>
      <w:r w:rsidR="006E5E2F">
        <w:t xml:space="preserve"> (60% de la </w:t>
      </w:r>
      <w:r>
        <w:t>renta mediana)</w:t>
      </w:r>
      <w:bookmarkEnd w:id="2"/>
    </w:p>
    <w:p w:rsidR="0047603F" w:rsidRDefault="0047603F" w:rsidP="00FB0ACE">
      <w:r>
        <w:t>La tasa de pobreza monetaria se sitúa</w:t>
      </w:r>
      <w:r w:rsidR="00BC1238">
        <w:t xml:space="preserve"> en 2024</w:t>
      </w:r>
      <w:r>
        <w:t xml:space="preserve"> en niveles simi</w:t>
      </w:r>
      <w:r w:rsidR="00EF10B7">
        <w:t xml:space="preserve">lares a 2008. Aumentó entre 2008 y 2014-2015, disminuye a partir de esa fecha para incrementarse durante la pandemia </w:t>
      </w:r>
      <w:r w:rsidR="00DC2DF0">
        <w:t xml:space="preserve">y </w:t>
      </w:r>
      <w:r w:rsidR="00A974A2">
        <w:t>reducirse desde</w:t>
      </w:r>
      <w:r w:rsidR="00DC2DF0">
        <w:t xml:space="preserve"> 2022</w:t>
      </w:r>
      <w:r w:rsidR="00A974A2">
        <w:t>, tal como refleja el gráfico adjunto</w:t>
      </w:r>
      <w:r w:rsidR="00527225">
        <w:t>.</w:t>
      </w:r>
    </w:p>
    <w:p w:rsidR="0009300B" w:rsidRDefault="0009300B" w:rsidP="00FB0ACE"/>
    <w:p w:rsidR="00BC1238" w:rsidRDefault="00F66D88" w:rsidP="00F66D88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578350" cy="2755900"/>
            <wp:effectExtent l="0" t="0" r="0" b="6350"/>
            <wp:docPr id="114415304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6D88" w:rsidRDefault="00F66D88" w:rsidP="00F66D88">
      <w:pPr>
        <w:jc w:val="center"/>
      </w:pPr>
    </w:p>
    <w:p w:rsidR="00404949" w:rsidRDefault="00404949" w:rsidP="00F66D88">
      <w:pPr>
        <w:jc w:val="center"/>
      </w:pPr>
    </w:p>
    <w:p w:rsidR="007F7D99" w:rsidRDefault="00DC2DF0" w:rsidP="00FB0ACE">
      <w:r>
        <w:t>Por comunidades autónomas, 8 de ellas se sitúan por encima de la tasa nacional. De mayor a menor porcentaje de población afectada, estas son: Melilla, Ceuta, Andalucía, Extremadura, Castilla-La Manc</w:t>
      </w:r>
      <w:r w:rsidR="001056BA">
        <w:t>h</w:t>
      </w:r>
      <w:r>
        <w:t xml:space="preserve">a, </w:t>
      </w:r>
      <w:r w:rsidR="00991579">
        <w:t>Murcia, Comunidad Valenciana y Canarias.</w:t>
      </w:r>
    </w:p>
    <w:p w:rsidR="008209C8" w:rsidRDefault="00C80877" w:rsidP="00C11202">
      <w:r>
        <w:t>Por edad, los menores de 1</w:t>
      </w:r>
      <w:r w:rsidR="00C31778">
        <w:t>8</w:t>
      </w:r>
      <w:r>
        <w:t xml:space="preserve"> años presentan tasas más altas de pobreza monetaria (29,2%).</w:t>
      </w:r>
      <w:r w:rsidR="00C11202">
        <w:t xml:space="preserve"> Por sexo, l</w:t>
      </w:r>
      <w:r w:rsidR="00DB557B">
        <w:t xml:space="preserve">as mujeres </w:t>
      </w:r>
      <w:r w:rsidR="00C11202">
        <w:t>tienen una tasa de pobreza 1,5 puntos porcentuales por encima de los varones.</w:t>
      </w:r>
      <w:r w:rsidR="00DB557B">
        <w:t xml:space="preserve"> Est</w:t>
      </w:r>
      <w:r w:rsidR="00C11202">
        <w:t xml:space="preserve">e mayor riesgo de las mujeres se acentúa </w:t>
      </w:r>
      <w:r w:rsidR="00DB557B">
        <w:t>en dos ciclos vitales: de 30 a 44 años (+3,7) y a partir de 65 años</w:t>
      </w:r>
      <w:r w:rsidR="008209C8">
        <w:t xml:space="preserve"> (+4,5)</w:t>
      </w:r>
      <w:r w:rsidR="00DB4A8E">
        <w:t xml:space="preserve"> (tabla 2)</w:t>
      </w:r>
      <w:r w:rsidR="008209C8">
        <w:t>.</w:t>
      </w:r>
    </w:p>
    <w:p w:rsidR="00404949" w:rsidRDefault="00404949">
      <w:pPr>
        <w:jc w:val="left"/>
      </w:pPr>
      <w:r>
        <w:br w:type="page"/>
      </w:r>
    </w:p>
    <w:p w:rsidR="00527225" w:rsidRDefault="00527225" w:rsidP="00C11202"/>
    <w:tbl>
      <w:tblPr>
        <w:tblStyle w:val="ListTable2Accent2"/>
        <w:tblW w:w="7680" w:type="dxa"/>
        <w:jc w:val="center"/>
        <w:tblLook w:val="04A0"/>
      </w:tblPr>
      <w:tblGrid>
        <w:gridCol w:w="2371"/>
        <w:gridCol w:w="1141"/>
        <w:gridCol w:w="1213"/>
        <w:gridCol w:w="1063"/>
        <w:gridCol w:w="1892"/>
      </w:tblGrid>
      <w:tr w:rsidR="008B18AC" w:rsidRPr="00C36B9C" w:rsidTr="008B18AC">
        <w:trPr>
          <w:cnfStyle w:val="100000000000"/>
          <w:trHeight w:val="300"/>
          <w:jc w:val="center"/>
        </w:trPr>
        <w:tc>
          <w:tcPr>
            <w:cnfStyle w:val="001000000000"/>
            <w:tcW w:w="7680" w:type="dxa"/>
            <w:gridSpan w:val="5"/>
            <w:noWrap/>
            <w:vAlign w:val="center"/>
            <w:hideMark/>
          </w:tcPr>
          <w:p w:rsidR="008B18AC" w:rsidRPr="00C36B9C" w:rsidRDefault="00DB4A8E" w:rsidP="00CB5627">
            <w:pPr>
              <w:spacing w:before="120" w:after="120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 xml:space="preserve">Tabla 2. </w:t>
            </w:r>
            <w:r w:rsidR="008B18AC"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Tasa de riesgo de pobreza</w:t>
            </w:r>
            <w:r w:rsidR="006F3F71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 xml:space="preserve"> monetaria</w:t>
            </w:r>
            <w:r w:rsidR="008B18AC"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 xml:space="preserve"> por edad y sexo</w:t>
            </w:r>
            <w:r w:rsid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 xml:space="preserve"> (% de personas)</w:t>
            </w:r>
            <w:r w:rsidR="0040494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, ECV, 2024</w:t>
            </w:r>
          </w:p>
        </w:tc>
      </w:tr>
      <w:tr w:rsidR="008B18AC" w:rsidRPr="00C36B9C" w:rsidTr="008B18AC">
        <w:trPr>
          <w:cnfStyle w:val="000000100000"/>
          <w:trHeight w:val="900"/>
          <w:jc w:val="center"/>
        </w:trPr>
        <w:tc>
          <w:tcPr>
            <w:cnfStyle w:val="001000000000"/>
            <w:tcW w:w="2371" w:type="dxa"/>
            <w:noWrap/>
            <w:vAlign w:val="center"/>
            <w:hideMark/>
          </w:tcPr>
          <w:p w:rsidR="008B18AC" w:rsidRPr="00C36B9C" w:rsidRDefault="008B18AC" w:rsidP="008B18AC">
            <w:pP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 xml:space="preserve"> </w:t>
            </w:r>
          </w:p>
        </w:tc>
        <w:tc>
          <w:tcPr>
            <w:tcW w:w="1141" w:type="dxa"/>
            <w:vAlign w:val="center"/>
            <w:hideMark/>
          </w:tcPr>
          <w:p w:rsidR="008B18AC" w:rsidRPr="00C36B9C" w:rsidRDefault="008B18AC" w:rsidP="008B18AC">
            <w:pPr>
              <w:jc w:val="center"/>
              <w:cnfStyle w:val="000000100000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>Ambos sexos</w:t>
            </w:r>
          </w:p>
        </w:tc>
        <w:tc>
          <w:tcPr>
            <w:tcW w:w="1213" w:type="dxa"/>
            <w:noWrap/>
            <w:vAlign w:val="center"/>
            <w:hideMark/>
          </w:tcPr>
          <w:p w:rsidR="008B18AC" w:rsidRPr="00C36B9C" w:rsidRDefault="008B18AC" w:rsidP="008B18AC">
            <w:pPr>
              <w:jc w:val="center"/>
              <w:cnfStyle w:val="000000100000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>Hombres</w:t>
            </w:r>
          </w:p>
        </w:tc>
        <w:tc>
          <w:tcPr>
            <w:tcW w:w="1063" w:type="dxa"/>
            <w:noWrap/>
            <w:vAlign w:val="center"/>
            <w:hideMark/>
          </w:tcPr>
          <w:p w:rsidR="008B18AC" w:rsidRPr="00C36B9C" w:rsidRDefault="008B18AC" w:rsidP="008B18AC">
            <w:pPr>
              <w:jc w:val="center"/>
              <w:cnfStyle w:val="000000100000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>Mujeres</w:t>
            </w:r>
          </w:p>
        </w:tc>
        <w:tc>
          <w:tcPr>
            <w:tcW w:w="1892" w:type="dxa"/>
            <w:vAlign w:val="center"/>
            <w:hideMark/>
          </w:tcPr>
          <w:p w:rsidR="008B18AC" w:rsidRPr="00C36B9C" w:rsidRDefault="008B18AC" w:rsidP="008B18AC">
            <w:pPr>
              <w:jc w:val="center"/>
              <w:cnfStyle w:val="000000100000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>Diferencia entre hombres y mujeres</w:t>
            </w:r>
          </w:p>
        </w:tc>
      </w:tr>
      <w:tr w:rsidR="008B18AC" w:rsidRPr="00C36B9C" w:rsidTr="008B18AC">
        <w:trPr>
          <w:trHeight w:val="300"/>
          <w:jc w:val="center"/>
        </w:trPr>
        <w:tc>
          <w:tcPr>
            <w:cnfStyle w:val="001000000000"/>
            <w:tcW w:w="2371" w:type="dxa"/>
            <w:noWrap/>
            <w:vAlign w:val="center"/>
            <w:hideMark/>
          </w:tcPr>
          <w:p w:rsidR="008B18AC" w:rsidRPr="00C36B9C" w:rsidRDefault="008B18AC" w:rsidP="008B18AC">
            <w:pP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Total</w:t>
            </w:r>
          </w:p>
        </w:tc>
        <w:tc>
          <w:tcPr>
            <w:tcW w:w="1141" w:type="dxa"/>
            <w:noWrap/>
            <w:vAlign w:val="center"/>
            <w:hideMark/>
          </w:tcPr>
          <w:p w:rsidR="008B18AC" w:rsidRPr="00C36B9C" w:rsidRDefault="008B18AC" w:rsidP="008B18AC">
            <w:pPr>
              <w:jc w:val="right"/>
              <w:cnfStyle w:val="0000000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19,7</w:t>
            </w:r>
          </w:p>
        </w:tc>
        <w:tc>
          <w:tcPr>
            <w:tcW w:w="1213" w:type="dxa"/>
            <w:noWrap/>
            <w:vAlign w:val="center"/>
            <w:hideMark/>
          </w:tcPr>
          <w:p w:rsidR="008B18AC" w:rsidRPr="00C36B9C" w:rsidRDefault="008B18AC" w:rsidP="008B18AC">
            <w:pPr>
              <w:jc w:val="right"/>
              <w:cnfStyle w:val="0000000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18,9</w:t>
            </w:r>
          </w:p>
        </w:tc>
        <w:tc>
          <w:tcPr>
            <w:tcW w:w="1063" w:type="dxa"/>
            <w:noWrap/>
            <w:vAlign w:val="center"/>
            <w:hideMark/>
          </w:tcPr>
          <w:p w:rsidR="008B18AC" w:rsidRPr="00C36B9C" w:rsidRDefault="008B18AC" w:rsidP="008B18AC">
            <w:pPr>
              <w:jc w:val="right"/>
              <w:cnfStyle w:val="0000000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20,4</w:t>
            </w:r>
          </w:p>
        </w:tc>
        <w:tc>
          <w:tcPr>
            <w:tcW w:w="1892" w:type="dxa"/>
            <w:noWrap/>
            <w:vAlign w:val="center"/>
            <w:hideMark/>
          </w:tcPr>
          <w:p w:rsidR="008B18AC" w:rsidRPr="00C36B9C" w:rsidRDefault="008B18AC" w:rsidP="008B18AC">
            <w:pPr>
              <w:jc w:val="right"/>
              <w:cnfStyle w:val="0000000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1,5</w:t>
            </w:r>
          </w:p>
        </w:tc>
      </w:tr>
      <w:tr w:rsidR="008B18AC" w:rsidRPr="00C36B9C" w:rsidTr="008B18AC">
        <w:trPr>
          <w:cnfStyle w:val="000000100000"/>
          <w:trHeight w:val="300"/>
          <w:jc w:val="center"/>
        </w:trPr>
        <w:tc>
          <w:tcPr>
            <w:cnfStyle w:val="001000000000"/>
            <w:tcW w:w="2371" w:type="dxa"/>
            <w:noWrap/>
            <w:vAlign w:val="center"/>
            <w:hideMark/>
          </w:tcPr>
          <w:p w:rsidR="008B18AC" w:rsidRPr="00C36B9C" w:rsidRDefault="008B18AC" w:rsidP="008B18AC">
            <w:pP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Menos de 1</w:t>
            </w:r>
            <w:r w:rsidR="008752C0"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6</w:t>
            </w: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 xml:space="preserve"> años</w:t>
            </w:r>
          </w:p>
        </w:tc>
        <w:tc>
          <w:tcPr>
            <w:tcW w:w="1141" w:type="dxa"/>
            <w:noWrap/>
            <w:vAlign w:val="center"/>
            <w:hideMark/>
          </w:tcPr>
          <w:p w:rsidR="008B18AC" w:rsidRPr="00C36B9C" w:rsidRDefault="008B18AC" w:rsidP="008B18AC">
            <w:pPr>
              <w:jc w:val="right"/>
              <w:cnfStyle w:val="0000001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29,2</w:t>
            </w:r>
          </w:p>
        </w:tc>
        <w:tc>
          <w:tcPr>
            <w:tcW w:w="1213" w:type="dxa"/>
            <w:noWrap/>
            <w:vAlign w:val="center"/>
            <w:hideMark/>
          </w:tcPr>
          <w:p w:rsidR="008B18AC" w:rsidRPr="00C36B9C" w:rsidRDefault="008B18AC" w:rsidP="008B18AC">
            <w:pPr>
              <w:jc w:val="right"/>
              <w:cnfStyle w:val="0000001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29,</w:t>
            </w:r>
            <w:r w:rsidR="008752C0"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1063" w:type="dxa"/>
            <w:noWrap/>
            <w:vAlign w:val="center"/>
            <w:hideMark/>
          </w:tcPr>
          <w:p w:rsidR="008B18AC" w:rsidRPr="00C36B9C" w:rsidRDefault="008B18AC" w:rsidP="008B18AC">
            <w:pPr>
              <w:jc w:val="right"/>
              <w:cnfStyle w:val="0000001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28,9</w:t>
            </w:r>
          </w:p>
        </w:tc>
        <w:tc>
          <w:tcPr>
            <w:tcW w:w="1892" w:type="dxa"/>
            <w:noWrap/>
            <w:vAlign w:val="center"/>
            <w:hideMark/>
          </w:tcPr>
          <w:p w:rsidR="008B18AC" w:rsidRPr="00C36B9C" w:rsidRDefault="008B18AC" w:rsidP="008B18AC">
            <w:pPr>
              <w:jc w:val="right"/>
              <w:cnfStyle w:val="0000001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-0,</w:t>
            </w:r>
            <w:r w:rsidR="008752C0"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7</w:t>
            </w:r>
          </w:p>
        </w:tc>
      </w:tr>
      <w:tr w:rsidR="003319F0" w:rsidRPr="00C36B9C" w:rsidTr="008B18AC">
        <w:trPr>
          <w:trHeight w:val="300"/>
          <w:jc w:val="center"/>
        </w:trPr>
        <w:tc>
          <w:tcPr>
            <w:cnfStyle w:val="001000000000"/>
            <w:tcW w:w="2371" w:type="dxa"/>
            <w:noWrap/>
            <w:vAlign w:val="center"/>
          </w:tcPr>
          <w:p w:rsidR="003319F0" w:rsidRPr="00C36B9C" w:rsidRDefault="00B67BC4" w:rsidP="008B18AC">
            <w:pP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Menos de 18 años</w:t>
            </w:r>
          </w:p>
        </w:tc>
        <w:tc>
          <w:tcPr>
            <w:tcW w:w="1141" w:type="dxa"/>
            <w:noWrap/>
            <w:vAlign w:val="center"/>
          </w:tcPr>
          <w:p w:rsidR="003319F0" w:rsidRPr="00C36B9C" w:rsidRDefault="00B67BC4" w:rsidP="008B18AC">
            <w:pPr>
              <w:jc w:val="right"/>
              <w:cnfStyle w:val="0000000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29,2</w:t>
            </w:r>
          </w:p>
        </w:tc>
        <w:tc>
          <w:tcPr>
            <w:tcW w:w="1213" w:type="dxa"/>
            <w:noWrap/>
            <w:vAlign w:val="center"/>
          </w:tcPr>
          <w:p w:rsidR="003319F0" w:rsidRPr="00C36B9C" w:rsidRDefault="00B67BC4" w:rsidP="008B18AC">
            <w:pPr>
              <w:jc w:val="right"/>
              <w:cnfStyle w:val="0000000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29,5</w:t>
            </w:r>
          </w:p>
        </w:tc>
        <w:tc>
          <w:tcPr>
            <w:tcW w:w="1063" w:type="dxa"/>
            <w:noWrap/>
            <w:vAlign w:val="center"/>
          </w:tcPr>
          <w:p w:rsidR="003319F0" w:rsidRPr="00C36B9C" w:rsidRDefault="00C90EE7" w:rsidP="008B18AC">
            <w:pPr>
              <w:jc w:val="right"/>
              <w:cnfStyle w:val="0000000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2</w:t>
            </w:r>
            <w:r w:rsidR="00B67BC4"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8,9</w:t>
            </w:r>
          </w:p>
        </w:tc>
        <w:tc>
          <w:tcPr>
            <w:tcW w:w="1892" w:type="dxa"/>
            <w:noWrap/>
            <w:vAlign w:val="center"/>
          </w:tcPr>
          <w:p w:rsidR="003319F0" w:rsidRPr="00C36B9C" w:rsidRDefault="00B67BC4" w:rsidP="008B18AC">
            <w:pPr>
              <w:jc w:val="right"/>
              <w:cnfStyle w:val="0000000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-0,6</w:t>
            </w:r>
          </w:p>
        </w:tc>
      </w:tr>
      <w:tr w:rsidR="008B18AC" w:rsidRPr="00C36B9C" w:rsidTr="008B18AC">
        <w:trPr>
          <w:cnfStyle w:val="000000100000"/>
          <w:trHeight w:val="300"/>
          <w:jc w:val="center"/>
        </w:trPr>
        <w:tc>
          <w:tcPr>
            <w:cnfStyle w:val="001000000000"/>
            <w:tcW w:w="2371" w:type="dxa"/>
            <w:noWrap/>
            <w:vAlign w:val="center"/>
            <w:hideMark/>
          </w:tcPr>
          <w:p w:rsidR="008B18AC" w:rsidRPr="00C36B9C" w:rsidRDefault="008B18AC" w:rsidP="008B18AC">
            <w:pP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De 16 a 29 años</w:t>
            </w:r>
          </w:p>
        </w:tc>
        <w:tc>
          <w:tcPr>
            <w:tcW w:w="1141" w:type="dxa"/>
            <w:noWrap/>
            <w:vAlign w:val="center"/>
            <w:hideMark/>
          </w:tcPr>
          <w:p w:rsidR="008B18AC" w:rsidRPr="00C36B9C" w:rsidRDefault="008B18AC" w:rsidP="008B18AC">
            <w:pPr>
              <w:jc w:val="right"/>
              <w:cnfStyle w:val="0000001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20,7</w:t>
            </w:r>
          </w:p>
        </w:tc>
        <w:tc>
          <w:tcPr>
            <w:tcW w:w="1213" w:type="dxa"/>
            <w:noWrap/>
            <w:vAlign w:val="center"/>
            <w:hideMark/>
          </w:tcPr>
          <w:p w:rsidR="008B18AC" w:rsidRPr="00C36B9C" w:rsidRDefault="008B18AC" w:rsidP="008B18AC">
            <w:pPr>
              <w:jc w:val="right"/>
              <w:cnfStyle w:val="0000001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19,7</w:t>
            </w:r>
          </w:p>
        </w:tc>
        <w:tc>
          <w:tcPr>
            <w:tcW w:w="1063" w:type="dxa"/>
            <w:noWrap/>
            <w:vAlign w:val="center"/>
            <w:hideMark/>
          </w:tcPr>
          <w:p w:rsidR="008B18AC" w:rsidRPr="00C36B9C" w:rsidRDefault="008B18AC" w:rsidP="008B18AC">
            <w:pPr>
              <w:jc w:val="right"/>
              <w:cnfStyle w:val="0000001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21,8</w:t>
            </w:r>
          </w:p>
        </w:tc>
        <w:tc>
          <w:tcPr>
            <w:tcW w:w="1892" w:type="dxa"/>
            <w:noWrap/>
            <w:vAlign w:val="center"/>
            <w:hideMark/>
          </w:tcPr>
          <w:p w:rsidR="008B18AC" w:rsidRPr="00C36B9C" w:rsidRDefault="008B18AC" w:rsidP="008B18AC">
            <w:pPr>
              <w:jc w:val="right"/>
              <w:cnfStyle w:val="0000001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2,1</w:t>
            </w:r>
          </w:p>
        </w:tc>
      </w:tr>
      <w:tr w:rsidR="008B18AC" w:rsidRPr="00C36B9C" w:rsidTr="008B18AC">
        <w:trPr>
          <w:trHeight w:val="300"/>
          <w:jc w:val="center"/>
        </w:trPr>
        <w:tc>
          <w:tcPr>
            <w:cnfStyle w:val="001000000000"/>
            <w:tcW w:w="2371" w:type="dxa"/>
            <w:noWrap/>
            <w:vAlign w:val="center"/>
            <w:hideMark/>
          </w:tcPr>
          <w:p w:rsidR="008B18AC" w:rsidRPr="00C36B9C" w:rsidRDefault="008B18AC" w:rsidP="008B18AC">
            <w:pP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De 30 a 44 años</w:t>
            </w:r>
          </w:p>
        </w:tc>
        <w:tc>
          <w:tcPr>
            <w:tcW w:w="1141" w:type="dxa"/>
            <w:noWrap/>
            <w:vAlign w:val="center"/>
            <w:hideMark/>
          </w:tcPr>
          <w:p w:rsidR="008B18AC" w:rsidRPr="00C36B9C" w:rsidRDefault="008B18AC" w:rsidP="008B18AC">
            <w:pPr>
              <w:jc w:val="right"/>
              <w:cnfStyle w:val="0000000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19,2</w:t>
            </w:r>
          </w:p>
        </w:tc>
        <w:tc>
          <w:tcPr>
            <w:tcW w:w="1213" w:type="dxa"/>
            <w:noWrap/>
            <w:vAlign w:val="center"/>
            <w:hideMark/>
          </w:tcPr>
          <w:p w:rsidR="008B18AC" w:rsidRPr="00C36B9C" w:rsidRDefault="008B18AC" w:rsidP="008B18AC">
            <w:pPr>
              <w:jc w:val="right"/>
              <w:cnfStyle w:val="0000000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17,4</w:t>
            </w:r>
          </w:p>
        </w:tc>
        <w:tc>
          <w:tcPr>
            <w:tcW w:w="1063" w:type="dxa"/>
            <w:noWrap/>
            <w:vAlign w:val="center"/>
            <w:hideMark/>
          </w:tcPr>
          <w:p w:rsidR="008B18AC" w:rsidRPr="00C36B9C" w:rsidRDefault="008B18AC" w:rsidP="008B18AC">
            <w:pPr>
              <w:jc w:val="right"/>
              <w:cnfStyle w:val="0000000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21,1</w:t>
            </w:r>
          </w:p>
        </w:tc>
        <w:tc>
          <w:tcPr>
            <w:tcW w:w="1892" w:type="dxa"/>
            <w:noWrap/>
            <w:vAlign w:val="center"/>
            <w:hideMark/>
          </w:tcPr>
          <w:p w:rsidR="008B18AC" w:rsidRPr="00C36B9C" w:rsidRDefault="008B18AC" w:rsidP="008B18AC">
            <w:pPr>
              <w:jc w:val="right"/>
              <w:cnfStyle w:val="0000000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3,7</w:t>
            </w:r>
          </w:p>
        </w:tc>
      </w:tr>
      <w:tr w:rsidR="008B18AC" w:rsidRPr="00C36B9C" w:rsidTr="008B18AC">
        <w:trPr>
          <w:cnfStyle w:val="000000100000"/>
          <w:trHeight w:val="300"/>
          <w:jc w:val="center"/>
        </w:trPr>
        <w:tc>
          <w:tcPr>
            <w:cnfStyle w:val="001000000000"/>
            <w:tcW w:w="2371" w:type="dxa"/>
            <w:noWrap/>
            <w:vAlign w:val="center"/>
            <w:hideMark/>
          </w:tcPr>
          <w:p w:rsidR="008B18AC" w:rsidRPr="00C36B9C" w:rsidRDefault="008B18AC" w:rsidP="008B18AC">
            <w:pP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De 45 a 64 años</w:t>
            </w:r>
          </w:p>
        </w:tc>
        <w:tc>
          <w:tcPr>
            <w:tcW w:w="1141" w:type="dxa"/>
            <w:noWrap/>
            <w:vAlign w:val="center"/>
            <w:hideMark/>
          </w:tcPr>
          <w:p w:rsidR="008B18AC" w:rsidRPr="00C36B9C" w:rsidRDefault="008B18AC" w:rsidP="008B18AC">
            <w:pPr>
              <w:jc w:val="right"/>
              <w:cnfStyle w:val="0000001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16,8</w:t>
            </w:r>
          </w:p>
        </w:tc>
        <w:tc>
          <w:tcPr>
            <w:tcW w:w="1213" w:type="dxa"/>
            <w:noWrap/>
            <w:vAlign w:val="center"/>
            <w:hideMark/>
          </w:tcPr>
          <w:p w:rsidR="008B18AC" w:rsidRPr="00C36B9C" w:rsidRDefault="008B18AC" w:rsidP="008B18AC">
            <w:pPr>
              <w:jc w:val="right"/>
              <w:cnfStyle w:val="0000001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16,8</w:t>
            </w:r>
          </w:p>
        </w:tc>
        <w:tc>
          <w:tcPr>
            <w:tcW w:w="1063" w:type="dxa"/>
            <w:noWrap/>
            <w:vAlign w:val="center"/>
            <w:hideMark/>
          </w:tcPr>
          <w:p w:rsidR="008B18AC" w:rsidRPr="00C36B9C" w:rsidRDefault="008B18AC" w:rsidP="008B18AC">
            <w:pPr>
              <w:jc w:val="right"/>
              <w:cnfStyle w:val="0000001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16,7</w:t>
            </w:r>
          </w:p>
        </w:tc>
        <w:tc>
          <w:tcPr>
            <w:tcW w:w="1892" w:type="dxa"/>
            <w:noWrap/>
            <w:vAlign w:val="center"/>
            <w:hideMark/>
          </w:tcPr>
          <w:p w:rsidR="008B18AC" w:rsidRPr="00C36B9C" w:rsidRDefault="008B18AC" w:rsidP="008B18AC">
            <w:pPr>
              <w:jc w:val="right"/>
              <w:cnfStyle w:val="0000001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-0,1</w:t>
            </w:r>
          </w:p>
        </w:tc>
      </w:tr>
      <w:tr w:rsidR="008B18AC" w:rsidRPr="00C36B9C" w:rsidTr="008B18AC">
        <w:trPr>
          <w:trHeight w:val="300"/>
          <w:jc w:val="center"/>
        </w:trPr>
        <w:tc>
          <w:tcPr>
            <w:cnfStyle w:val="001000000000"/>
            <w:tcW w:w="2371" w:type="dxa"/>
            <w:noWrap/>
            <w:vAlign w:val="center"/>
            <w:hideMark/>
          </w:tcPr>
          <w:p w:rsidR="008B18AC" w:rsidRPr="00C36B9C" w:rsidRDefault="008B18AC" w:rsidP="008B18AC">
            <w:pP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65 y más años</w:t>
            </w:r>
          </w:p>
        </w:tc>
        <w:tc>
          <w:tcPr>
            <w:tcW w:w="1141" w:type="dxa"/>
            <w:noWrap/>
            <w:vAlign w:val="center"/>
            <w:hideMark/>
          </w:tcPr>
          <w:p w:rsidR="008B18AC" w:rsidRPr="00C36B9C" w:rsidRDefault="008B18AC" w:rsidP="008B18AC">
            <w:pPr>
              <w:jc w:val="right"/>
              <w:cnfStyle w:val="0000000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16,9</w:t>
            </w:r>
          </w:p>
        </w:tc>
        <w:tc>
          <w:tcPr>
            <w:tcW w:w="1213" w:type="dxa"/>
            <w:noWrap/>
            <w:vAlign w:val="center"/>
            <w:hideMark/>
          </w:tcPr>
          <w:p w:rsidR="008B18AC" w:rsidRPr="00C36B9C" w:rsidRDefault="008B18AC" w:rsidP="008B18AC">
            <w:pPr>
              <w:jc w:val="right"/>
              <w:cnfStyle w:val="0000000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14,4</w:t>
            </w:r>
          </w:p>
        </w:tc>
        <w:tc>
          <w:tcPr>
            <w:tcW w:w="1063" w:type="dxa"/>
            <w:noWrap/>
            <w:vAlign w:val="center"/>
            <w:hideMark/>
          </w:tcPr>
          <w:p w:rsidR="008B18AC" w:rsidRPr="00C36B9C" w:rsidRDefault="008B18AC" w:rsidP="008B18AC">
            <w:pPr>
              <w:jc w:val="right"/>
              <w:cnfStyle w:val="0000000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18,9</w:t>
            </w:r>
          </w:p>
        </w:tc>
        <w:tc>
          <w:tcPr>
            <w:tcW w:w="1892" w:type="dxa"/>
            <w:noWrap/>
            <w:vAlign w:val="center"/>
            <w:hideMark/>
          </w:tcPr>
          <w:p w:rsidR="008B18AC" w:rsidRPr="00C36B9C" w:rsidRDefault="008B18AC" w:rsidP="008B18AC">
            <w:pPr>
              <w:jc w:val="right"/>
              <w:cnfStyle w:val="0000000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4,5</w:t>
            </w:r>
          </w:p>
        </w:tc>
      </w:tr>
    </w:tbl>
    <w:p w:rsidR="006A17F3" w:rsidRDefault="006A17F3" w:rsidP="009E344D"/>
    <w:p w:rsidR="006F3F71" w:rsidRDefault="006F3F71" w:rsidP="006F3F71">
      <w:r>
        <w:t>Según la relación con la actividad, las cifras más altas se dan entre las personas paradas (38,4%) y entre otras personas inactivas por motivos diferentes a la jubilación (27,4%).</w:t>
      </w:r>
    </w:p>
    <w:p w:rsidR="008752C0" w:rsidRDefault="008209C8" w:rsidP="009E344D">
      <w:r>
        <w:t>Por nivel de formación alcanzado</w:t>
      </w:r>
      <w:r w:rsidR="00DB4A8E">
        <w:t>,</w:t>
      </w:r>
      <w:r>
        <w:t xml:space="preserve"> la tasa </w:t>
      </w:r>
      <w:r w:rsidR="00C11202">
        <w:t>de pobreza</w:t>
      </w:r>
      <w:r w:rsidR="00AB6B95">
        <w:t xml:space="preserve"> monetaria es mayor entre los niveles más bajos</w:t>
      </w:r>
      <w:r w:rsidR="009E344D">
        <w:t xml:space="preserve">. </w:t>
      </w:r>
    </w:p>
    <w:p w:rsidR="008752C0" w:rsidRDefault="008752C0" w:rsidP="008752C0">
      <w:r>
        <w:t xml:space="preserve">Por tipo de hogar, las tasas son más altas </w:t>
      </w:r>
      <w:r w:rsidR="006D1940">
        <w:t xml:space="preserve">en los hogares con menores o hijos económicamente dependientes de 18 a 24 años y en los hogares unipersonales. El porcentaje más </w:t>
      </w:r>
      <w:r w:rsidR="00106788">
        <w:t xml:space="preserve">elevado </w:t>
      </w:r>
      <w:r w:rsidR="006D1940">
        <w:t>se da en los hogares monoparentales (42%), seguido con diferencia por los hogares unipersonales (24,6%) y por otros hogares con menores o con hijos económicamente dependientes de 1</w:t>
      </w:r>
      <w:r w:rsidR="0034389B">
        <w:t>8</w:t>
      </w:r>
      <w:r w:rsidR="006D1940">
        <w:t xml:space="preserve"> a 24 años (22,5%</w:t>
      </w:r>
      <w:r w:rsidR="0034389B">
        <w:t>-23,7%)</w:t>
      </w:r>
      <w:r w:rsidR="006F3F71">
        <w:t xml:space="preserve"> (tabla 3)</w:t>
      </w:r>
      <w:r w:rsidR="0034389B">
        <w:t>.</w:t>
      </w:r>
      <w:r w:rsidR="00120A75">
        <w:t xml:space="preserve"> </w:t>
      </w:r>
    </w:p>
    <w:p w:rsidR="00106788" w:rsidRDefault="00106788"/>
    <w:tbl>
      <w:tblPr>
        <w:tblStyle w:val="ListTable2Accent2"/>
        <w:tblW w:w="7668" w:type="dxa"/>
        <w:jc w:val="center"/>
        <w:tblLook w:val="04A0"/>
      </w:tblPr>
      <w:tblGrid>
        <w:gridCol w:w="5529"/>
        <w:gridCol w:w="2139"/>
      </w:tblGrid>
      <w:tr w:rsidR="00120A75" w:rsidRPr="00B67BC4" w:rsidTr="00C36B9C">
        <w:trPr>
          <w:cnfStyle w:val="100000000000"/>
          <w:trHeight w:val="300"/>
          <w:jc w:val="center"/>
        </w:trPr>
        <w:tc>
          <w:tcPr>
            <w:cnfStyle w:val="001000000000"/>
            <w:tcW w:w="7668" w:type="dxa"/>
            <w:gridSpan w:val="2"/>
            <w:noWrap/>
            <w:hideMark/>
          </w:tcPr>
          <w:p w:rsidR="00120A75" w:rsidRPr="00B67BC4" w:rsidRDefault="006F3F71" w:rsidP="00B67BC4">
            <w:pPr>
              <w:spacing w:before="120" w:line="36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 xml:space="preserve">Tabla 3. </w:t>
            </w:r>
            <w:r w:rsidR="00120A75" w:rsidRPr="00B67BC4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Tasa de riesgo de pobreza</w:t>
            </w: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 xml:space="preserve"> monetaria</w:t>
            </w:r>
            <w:r w:rsidR="00120A75" w:rsidRPr="00B67BC4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 xml:space="preserve"> por tipo de hogar</w:t>
            </w:r>
            <w:r w:rsidR="0040494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, ECV, 2024</w:t>
            </w:r>
            <w:r w:rsidR="006429DB" w:rsidRPr="00B67BC4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 xml:space="preserve"> (*)</w:t>
            </w:r>
          </w:p>
        </w:tc>
      </w:tr>
      <w:tr w:rsidR="00120A75" w:rsidRPr="00B67BC4" w:rsidTr="00C36B9C">
        <w:trPr>
          <w:cnfStyle w:val="000000100000"/>
          <w:trHeight w:val="300"/>
          <w:jc w:val="center"/>
        </w:trPr>
        <w:tc>
          <w:tcPr>
            <w:cnfStyle w:val="001000000000"/>
            <w:tcW w:w="7668" w:type="dxa"/>
            <w:gridSpan w:val="2"/>
            <w:noWrap/>
            <w:hideMark/>
          </w:tcPr>
          <w:p w:rsidR="00120A75" w:rsidRPr="00B67BC4" w:rsidRDefault="00120A75" w:rsidP="00120A75">
            <w:pPr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B67BC4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 xml:space="preserve"> </w:t>
            </w:r>
          </w:p>
        </w:tc>
      </w:tr>
      <w:tr w:rsidR="00C36B9C" w:rsidRPr="00B67BC4" w:rsidTr="00C36B9C">
        <w:trPr>
          <w:trHeight w:val="300"/>
          <w:jc w:val="center"/>
        </w:trPr>
        <w:tc>
          <w:tcPr>
            <w:cnfStyle w:val="001000000000"/>
            <w:tcW w:w="5529" w:type="dxa"/>
            <w:noWrap/>
          </w:tcPr>
          <w:p w:rsidR="00C36B9C" w:rsidRPr="00B67BC4" w:rsidRDefault="00C36B9C" w:rsidP="00120A75">
            <w:pP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139" w:type="dxa"/>
            <w:noWrap/>
          </w:tcPr>
          <w:p w:rsidR="00C36B9C" w:rsidRPr="00C36B9C" w:rsidRDefault="00C36B9C" w:rsidP="00120A75">
            <w:pPr>
              <w:jc w:val="right"/>
              <w:cnfStyle w:val="000000000000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>% de personas</w:t>
            </w:r>
          </w:p>
        </w:tc>
      </w:tr>
      <w:tr w:rsidR="00120A75" w:rsidRPr="00B67BC4" w:rsidTr="00C36B9C">
        <w:trPr>
          <w:cnfStyle w:val="000000100000"/>
          <w:trHeight w:val="300"/>
          <w:jc w:val="center"/>
        </w:trPr>
        <w:tc>
          <w:tcPr>
            <w:cnfStyle w:val="001000000000"/>
            <w:tcW w:w="5529" w:type="dxa"/>
            <w:noWrap/>
            <w:hideMark/>
          </w:tcPr>
          <w:p w:rsidR="00120A75" w:rsidRPr="00B67BC4" w:rsidRDefault="00120A75" w:rsidP="00120A75">
            <w:pP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B67BC4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Total</w:t>
            </w:r>
          </w:p>
        </w:tc>
        <w:tc>
          <w:tcPr>
            <w:tcW w:w="2139" w:type="dxa"/>
            <w:noWrap/>
            <w:hideMark/>
          </w:tcPr>
          <w:p w:rsidR="00120A75" w:rsidRPr="00B67BC4" w:rsidRDefault="00120A75" w:rsidP="00120A75">
            <w:pPr>
              <w:jc w:val="right"/>
              <w:cnfStyle w:val="0000001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B67BC4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19,7</w:t>
            </w:r>
          </w:p>
        </w:tc>
      </w:tr>
      <w:tr w:rsidR="00120A75" w:rsidRPr="00B67BC4" w:rsidTr="00C36B9C">
        <w:trPr>
          <w:trHeight w:val="300"/>
          <w:jc w:val="center"/>
        </w:trPr>
        <w:tc>
          <w:tcPr>
            <w:cnfStyle w:val="001000000000"/>
            <w:tcW w:w="5529" w:type="dxa"/>
            <w:noWrap/>
            <w:hideMark/>
          </w:tcPr>
          <w:p w:rsidR="00120A75" w:rsidRPr="00B67BC4" w:rsidRDefault="00120A75" w:rsidP="00120A75">
            <w:pP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B67BC4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Hogares de una persona</w:t>
            </w:r>
          </w:p>
        </w:tc>
        <w:tc>
          <w:tcPr>
            <w:tcW w:w="2139" w:type="dxa"/>
            <w:noWrap/>
            <w:hideMark/>
          </w:tcPr>
          <w:p w:rsidR="00120A75" w:rsidRPr="00B67BC4" w:rsidRDefault="00120A75" w:rsidP="00120A75">
            <w:pPr>
              <w:jc w:val="right"/>
              <w:cnfStyle w:val="0000000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B67BC4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24,6</w:t>
            </w:r>
          </w:p>
        </w:tc>
      </w:tr>
      <w:tr w:rsidR="00120A75" w:rsidRPr="00B67BC4" w:rsidTr="00C36B9C">
        <w:trPr>
          <w:cnfStyle w:val="000000100000"/>
          <w:trHeight w:val="300"/>
          <w:jc w:val="center"/>
        </w:trPr>
        <w:tc>
          <w:tcPr>
            <w:cnfStyle w:val="001000000000"/>
            <w:tcW w:w="5529" w:type="dxa"/>
            <w:noWrap/>
            <w:hideMark/>
          </w:tcPr>
          <w:p w:rsidR="00120A75" w:rsidRPr="00B67BC4" w:rsidRDefault="00120A75" w:rsidP="00120A75">
            <w:pP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B67BC4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 xml:space="preserve">2 adultos sin </w:t>
            </w:r>
            <w:r w:rsidR="00F66D88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hij</w:t>
            </w:r>
            <w:r w:rsidRPr="00B67BC4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os dependientes</w:t>
            </w:r>
          </w:p>
        </w:tc>
        <w:tc>
          <w:tcPr>
            <w:tcW w:w="2139" w:type="dxa"/>
            <w:noWrap/>
            <w:hideMark/>
          </w:tcPr>
          <w:p w:rsidR="00120A75" w:rsidRPr="00B67BC4" w:rsidRDefault="00120A75" w:rsidP="00120A75">
            <w:pPr>
              <w:jc w:val="right"/>
              <w:cnfStyle w:val="0000001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B67BC4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13,8</w:t>
            </w:r>
          </w:p>
        </w:tc>
      </w:tr>
      <w:tr w:rsidR="00120A75" w:rsidRPr="00B67BC4" w:rsidTr="00C36B9C">
        <w:trPr>
          <w:trHeight w:val="300"/>
          <w:jc w:val="center"/>
        </w:trPr>
        <w:tc>
          <w:tcPr>
            <w:cnfStyle w:val="001000000000"/>
            <w:tcW w:w="5529" w:type="dxa"/>
            <w:noWrap/>
            <w:hideMark/>
          </w:tcPr>
          <w:p w:rsidR="00120A75" w:rsidRPr="00B67BC4" w:rsidRDefault="00120A75" w:rsidP="00120A75">
            <w:pP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B67BC4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 xml:space="preserve">Otros hogares sin </w:t>
            </w:r>
            <w:r w:rsidR="00F66D88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hij</w:t>
            </w:r>
            <w:r w:rsidRPr="00B67BC4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os dependientes</w:t>
            </w:r>
          </w:p>
        </w:tc>
        <w:tc>
          <w:tcPr>
            <w:tcW w:w="2139" w:type="dxa"/>
            <w:noWrap/>
            <w:hideMark/>
          </w:tcPr>
          <w:p w:rsidR="00120A75" w:rsidRPr="00B67BC4" w:rsidRDefault="00120A75" w:rsidP="00120A75">
            <w:pPr>
              <w:jc w:val="right"/>
              <w:cnfStyle w:val="0000000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B67BC4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8,9</w:t>
            </w:r>
          </w:p>
        </w:tc>
      </w:tr>
      <w:tr w:rsidR="00120A75" w:rsidRPr="00B67BC4" w:rsidTr="00C36B9C">
        <w:trPr>
          <w:cnfStyle w:val="000000100000"/>
          <w:trHeight w:val="300"/>
          <w:jc w:val="center"/>
        </w:trPr>
        <w:tc>
          <w:tcPr>
            <w:cnfStyle w:val="001000000000"/>
            <w:tcW w:w="5529" w:type="dxa"/>
            <w:noWrap/>
            <w:hideMark/>
          </w:tcPr>
          <w:p w:rsidR="00120A75" w:rsidRPr="00B67BC4" w:rsidRDefault="00120A75" w:rsidP="00120A75">
            <w:pP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B67BC4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 xml:space="preserve">1 adulto con 1 o más </w:t>
            </w:r>
            <w:r w:rsidR="00106788" w:rsidRPr="00B67BC4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hij</w:t>
            </w:r>
            <w:r w:rsidRPr="00B67BC4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os dependientes</w:t>
            </w:r>
          </w:p>
        </w:tc>
        <w:tc>
          <w:tcPr>
            <w:tcW w:w="2139" w:type="dxa"/>
            <w:noWrap/>
            <w:hideMark/>
          </w:tcPr>
          <w:p w:rsidR="00120A75" w:rsidRPr="00B67BC4" w:rsidRDefault="00120A75" w:rsidP="00120A75">
            <w:pPr>
              <w:jc w:val="right"/>
              <w:cnfStyle w:val="0000001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B67BC4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42,4</w:t>
            </w:r>
          </w:p>
        </w:tc>
      </w:tr>
      <w:tr w:rsidR="00120A75" w:rsidRPr="00B67BC4" w:rsidTr="00C36B9C">
        <w:trPr>
          <w:trHeight w:val="300"/>
          <w:jc w:val="center"/>
        </w:trPr>
        <w:tc>
          <w:tcPr>
            <w:cnfStyle w:val="001000000000"/>
            <w:tcW w:w="5529" w:type="dxa"/>
            <w:noWrap/>
            <w:hideMark/>
          </w:tcPr>
          <w:p w:rsidR="00120A75" w:rsidRPr="00B67BC4" w:rsidRDefault="00120A75" w:rsidP="00120A75">
            <w:pP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B67BC4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 xml:space="preserve">2 adultos con 1 o más </w:t>
            </w:r>
            <w:r w:rsidR="00106788" w:rsidRPr="00B67BC4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hij</w:t>
            </w:r>
            <w:r w:rsidRPr="00B67BC4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os dependientes</w:t>
            </w:r>
          </w:p>
        </w:tc>
        <w:tc>
          <w:tcPr>
            <w:tcW w:w="2139" w:type="dxa"/>
            <w:noWrap/>
            <w:hideMark/>
          </w:tcPr>
          <w:p w:rsidR="00120A75" w:rsidRPr="00B67BC4" w:rsidRDefault="00120A75" w:rsidP="00120A75">
            <w:pPr>
              <w:jc w:val="right"/>
              <w:cnfStyle w:val="0000000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B67BC4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23,7</w:t>
            </w:r>
          </w:p>
        </w:tc>
      </w:tr>
      <w:tr w:rsidR="00120A75" w:rsidRPr="00B67BC4" w:rsidTr="00C36B9C">
        <w:trPr>
          <w:cnfStyle w:val="000000100000"/>
          <w:trHeight w:val="300"/>
          <w:jc w:val="center"/>
        </w:trPr>
        <w:tc>
          <w:tcPr>
            <w:cnfStyle w:val="001000000000"/>
            <w:tcW w:w="5529" w:type="dxa"/>
            <w:noWrap/>
            <w:hideMark/>
          </w:tcPr>
          <w:p w:rsidR="00120A75" w:rsidRPr="00B67BC4" w:rsidRDefault="00120A75" w:rsidP="00120A75">
            <w:pP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B67BC4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 xml:space="preserve">Otros hogares con </w:t>
            </w:r>
            <w:r w:rsidR="00106788" w:rsidRPr="00B67BC4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hijo</w:t>
            </w:r>
            <w:r w:rsidRPr="00B67BC4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s dependientes</w:t>
            </w:r>
          </w:p>
        </w:tc>
        <w:tc>
          <w:tcPr>
            <w:tcW w:w="2139" w:type="dxa"/>
            <w:noWrap/>
            <w:hideMark/>
          </w:tcPr>
          <w:p w:rsidR="00120A75" w:rsidRPr="00B67BC4" w:rsidRDefault="00120A75" w:rsidP="00120A75">
            <w:pPr>
              <w:jc w:val="right"/>
              <w:cnfStyle w:val="0000001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B67BC4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22,5</w:t>
            </w:r>
          </w:p>
        </w:tc>
      </w:tr>
      <w:tr w:rsidR="006429DB" w:rsidRPr="00B67BC4" w:rsidTr="00C36B9C">
        <w:trPr>
          <w:trHeight w:val="300"/>
          <w:jc w:val="center"/>
        </w:trPr>
        <w:tc>
          <w:tcPr>
            <w:cnfStyle w:val="001000000000"/>
            <w:tcW w:w="7668" w:type="dxa"/>
            <w:gridSpan w:val="2"/>
            <w:noWrap/>
          </w:tcPr>
          <w:p w:rsidR="006429DB" w:rsidRPr="00B67BC4" w:rsidRDefault="006429DB" w:rsidP="006429DB">
            <w:pPr>
              <w:pStyle w:val="Textonotapie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B67BC4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szCs w:val="22"/>
                <w:lang w:eastAsia="es-ES"/>
              </w:rPr>
              <w:t xml:space="preserve">(*) </w:t>
            </w:r>
            <w:r w:rsidRPr="00B67BC4">
              <w:rPr>
                <w:rFonts w:cs="Calibri"/>
                <w:b w:val="0"/>
                <w:bCs w:val="0"/>
                <w:sz w:val="22"/>
                <w:szCs w:val="22"/>
              </w:rPr>
              <w:t xml:space="preserve">La Encuesta de Condiciones de Vida entiende por </w:t>
            </w:r>
            <w:r w:rsidR="00F66D88">
              <w:rPr>
                <w:rFonts w:cs="Calibri"/>
                <w:b w:val="0"/>
                <w:bCs w:val="0"/>
                <w:sz w:val="22"/>
                <w:szCs w:val="22"/>
              </w:rPr>
              <w:t>hij</w:t>
            </w:r>
            <w:r w:rsidRPr="00B67BC4">
              <w:rPr>
                <w:rFonts w:cs="Calibri"/>
                <w:b w:val="0"/>
                <w:bCs w:val="0"/>
                <w:sz w:val="22"/>
                <w:szCs w:val="22"/>
              </w:rPr>
              <w:t>os dependientes a todos los menores de 18 años y a las personas de 18 a 24 años económicamente inactivas para las que al menos uno de sus padres es miembro del hogar.</w:t>
            </w:r>
          </w:p>
        </w:tc>
      </w:tr>
    </w:tbl>
    <w:p w:rsidR="00120A75" w:rsidRDefault="00120A75" w:rsidP="008752C0"/>
    <w:p w:rsidR="00FE3076" w:rsidRDefault="00FE3076" w:rsidP="00FE3076">
      <w:r>
        <w:t xml:space="preserve">Por nacionalidad, las tasas </w:t>
      </w:r>
      <w:r w:rsidR="006F3F71">
        <w:t xml:space="preserve">de pobreza monetaria </w:t>
      </w:r>
      <w:r>
        <w:t>se elevan en el caso de las personas extranjeras de la UE (28,2%) y del resto del mundo (43,7%).</w:t>
      </w:r>
    </w:p>
    <w:p w:rsidR="00FE3076" w:rsidRDefault="00FE3076" w:rsidP="00FE3076">
      <w:r>
        <w:t>En el conjunto de la UE-27, España es el sexto país con tasas de pobreza monetaria más elevadas, por detrás de Bulgaria, Letonia, Lituania, Croacia y Estonia.</w:t>
      </w:r>
    </w:p>
    <w:p w:rsidR="003824F9" w:rsidRDefault="00663598" w:rsidP="00527225">
      <w:pPr>
        <w:pStyle w:val="Ttulo2"/>
      </w:pPr>
      <w:bookmarkStart w:id="3" w:name="_Toc211528562"/>
      <w:r>
        <w:t xml:space="preserve">La </w:t>
      </w:r>
      <w:r w:rsidR="00435BEF">
        <w:t>carencia material y social severa</w:t>
      </w:r>
      <w:bookmarkEnd w:id="3"/>
    </w:p>
    <w:p w:rsidR="00ED113D" w:rsidRDefault="000817E3" w:rsidP="00FB0ACE">
      <w:r>
        <w:t xml:space="preserve">De los 13 indicadores que mide la Encuesta de Condiciones de Vida, </w:t>
      </w:r>
      <w:r w:rsidR="00CB3B94">
        <w:t>en la tabla 4 se recogen los más relevantes</w:t>
      </w:r>
      <w:r w:rsidR="00ED113D">
        <w:t xml:space="preserve">. </w:t>
      </w:r>
    </w:p>
    <w:p w:rsidR="00123F3D" w:rsidRPr="00123F3D" w:rsidRDefault="0003153F" w:rsidP="00FB0ACE">
      <w:r>
        <w:t xml:space="preserve">En algunos ítems </w:t>
      </w:r>
      <w:r w:rsidR="002D50BE">
        <w:t xml:space="preserve">los datos de población afectada siempre </w:t>
      </w:r>
      <w:r>
        <w:t xml:space="preserve">han sido </w:t>
      </w:r>
      <w:r w:rsidR="005514DC">
        <w:t xml:space="preserve">altos. Aunque haya oscilaciones según el ciclo económico, la incidencia </w:t>
      </w:r>
      <w:r w:rsidR="006F3F71">
        <w:t xml:space="preserve">casi todos los años </w:t>
      </w:r>
      <w:r w:rsidR="005514DC">
        <w:t xml:space="preserve">suele </w:t>
      </w:r>
      <w:r w:rsidR="00F66D88">
        <w:t xml:space="preserve">ser </w:t>
      </w:r>
      <w:r w:rsidR="005514DC">
        <w:t>superior al 30% de la población.</w:t>
      </w:r>
      <w:r w:rsidR="00123F3D">
        <w:t xml:space="preserve"> Este es el caso de las dificultades para afrontar gastos imprevistos de 800 euros, que en 2024 afecta al 35% de la población</w:t>
      </w:r>
      <w:r w:rsidR="00911A2B">
        <w:t>, o no poder permitirse ir de vacaciones fuera de casa una semana al año (33% en 2024).</w:t>
      </w:r>
    </w:p>
    <w:p w:rsidR="00123F3D" w:rsidRDefault="00B8618E" w:rsidP="00224CE4">
      <w:pPr>
        <w:rPr>
          <w:b/>
          <w:bCs/>
        </w:rPr>
      </w:pPr>
      <w:r>
        <w:t>Otros ítems como la imposibilidad de mantener la vivienda a una temperatura adecuada en invierno han</w:t>
      </w:r>
      <w:r w:rsidR="00224CE4">
        <w:t xml:space="preserve"> visto duplicar su </w:t>
      </w:r>
      <w:r>
        <w:t xml:space="preserve">incidencia </w:t>
      </w:r>
      <w:r w:rsidR="00224CE4">
        <w:t xml:space="preserve">desde 2018. En ese año afectaba al 9,1% de la población y en 2024 </w:t>
      </w:r>
      <w:r w:rsidR="0003153F">
        <w:t xml:space="preserve">se eleva al </w:t>
      </w:r>
      <w:r w:rsidR="00224CE4">
        <w:t>17,6%.</w:t>
      </w:r>
    </w:p>
    <w:p w:rsidR="00781DFD" w:rsidRDefault="00781DFD">
      <w:pPr>
        <w:rPr>
          <w:b/>
          <w:bCs/>
          <w:noProof/>
        </w:rPr>
      </w:pPr>
    </w:p>
    <w:tbl>
      <w:tblPr>
        <w:tblStyle w:val="GridTable6ColorfulAccent2"/>
        <w:tblW w:w="7500" w:type="dxa"/>
        <w:jc w:val="center"/>
        <w:tblLook w:val="04A0"/>
      </w:tblPr>
      <w:tblGrid>
        <w:gridCol w:w="6658"/>
        <w:gridCol w:w="1044"/>
      </w:tblGrid>
      <w:tr w:rsidR="00A35AED" w:rsidRPr="00C36B9C" w:rsidTr="0003153F">
        <w:trPr>
          <w:cnfStyle w:val="100000000000"/>
          <w:trHeight w:val="816"/>
          <w:jc w:val="center"/>
        </w:trPr>
        <w:tc>
          <w:tcPr>
            <w:cnfStyle w:val="001000000000"/>
            <w:tcW w:w="7500" w:type="dxa"/>
            <w:gridSpan w:val="2"/>
            <w:noWrap/>
            <w:vAlign w:val="center"/>
            <w:hideMark/>
          </w:tcPr>
          <w:p w:rsidR="00A35AED" w:rsidRPr="00C36B9C" w:rsidRDefault="00527225" w:rsidP="00C36B9C">
            <w:pPr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 xml:space="preserve">Tabla 4. </w:t>
            </w:r>
            <w:r w:rsidR="002F1CFA"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 xml:space="preserve">Ítems de </w:t>
            </w:r>
            <w:r w:rsidR="00A35AED"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carencia material</w:t>
            </w:r>
            <w:r w:rsidR="002F1CFA"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 xml:space="preserve"> </w:t>
            </w:r>
            <w:r w:rsid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 xml:space="preserve">y social severa </w:t>
            </w:r>
            <w:r w:rsidR="002F1CFA"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más frecuentes</w:t>
            </w:r>
            <w:r w:rsidR="00A35AED"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 xml:space="preserve">, </w:t>
            </w:r>
            <w:r w:rsidR="00123F3D"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 xml:space="preserve">ECV, </w:t>
            </w:r>
            <w:r w:rsidR="00A35AED"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2024</w:t>
            </w:r>
          </w:p>
          <w:p w:rsidR="00A35AED" w:rsidRPr="00C36B9C" w:rsidRDefault="00A35AED" w:rsidP="00F25D61">
            <w:pP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</w:tr>
      <w:tr w:rsidR="00A35AED" w:rsidRPr="00C36B9C" w:rsidTr="0003153F">
        <w:trPr>
          <w:cnfStyle w:val="000000100000"/>
          <w:trHeight w:val="300"/>
          <w:jc w:val="center"/>
        </w:trPr>
        <w:tc>
          <w:tcPr>
            <w:cnfStyle w:val="001000000000"/>
            <w:tcW w:w="6658" w:type="dxa"/>
            <w:noWrap/>
            <w:vAlign w:val="center"/>
            <w:hideMark/>
          </w:tcPr>
          <w:p w:rsidR="00A35AED" w:rsidRPr="00C36B9C" w:rsidRDefault="00A35AED" w:rsidP="00A35AED">
            <w:pPr>
              <w:rPr>
                <w:rFonts w:eastAsia="Times New Roman" w:cs="Calibri"/>
                <w:color w:val="FFFFFF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FFFFFF"/>
                <w:kern w:val="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842" w:type="dxa"/>
            <w:noWrap/>
            <w:vAlign w:val="center"/>
            <w:hideMark/>
          </w:tcPr>
          <w:p w:rsidR="00A35AED" w:rsidRPr="00C36B9C" w:rsidRDefault="00123F3D" w:rsidP="00123F3D">
            <w:pPr>
              <w:jc w:val="center"/>
              <w:cnfStyle w:val="000000100000"/>
              <w:rPr>
                <w:rFonts w:eastAsia="Times New Roman" w:cs="Calibri"/>
                <w:b/>
                <w:bCs/>
                <w:color w:val="auto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b/>
                <w:bCs/>
                <w:color w:val="auto"/>
                <w:kern w:val="0"/>
                <w:sz w:val="22"/>
                <w:szCs w:val="22"/>
                <w:lang w:eastAsia="es-ES"/>
              </w:rPr>
              <w:t>% de personas</w:t>
            </w:r>
          </w:p>
        </w:tc>
      </w:tr>
      <w:tr w:rsidR="00A35AED" w:rsidRPr="00C36B9C" w:rsidTr="0003153F">
        <w:trPr>
          <w:trHeight w:val="300"/>
          <w:jc w:val="center"/>
        </w:trPr>
        <w:tc>
          <w:tcPr>
            <w:cnfStyle w:val="001000000000"/>
            <w:tcW w:w="6658" w:type="dxa"/>
            <w:vAlign w:val="center"/>
            <w:hideMark/>
          </w:tcPr>
          <w:p w:rsidR="00A35AED" w:rsidRPr="00C36B9C" w:rsidRDefault="00A35AED" w:rsidP="00A35AED">
            <w:pP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No tiene capacidad para afrontar gastos imprevistos</w:t>
            </w:r>
            <w:r w:rsidR="00E42533"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 xml:space="preserve"> de 800 euros con sus propios recursos</w:t>
            </w:r>
          </w:p>
        </w:tc>
        <w:tc>
          <w:tcPr>
            <w:tcW w:w="842" w:type="dxa"/>
            <w:noWrap/>
            <w:vAlign w:val="center"/>
            <w:hideMark/>
          </w:tcPr>
          <w:p w:rsidR="00A35AED" w:rsidRPr="00C36B9C" w:rsidRDefault="00A35AED" w:rsidP="00A35AED">
            <w:pPr>
              <w:jc w:val="right"/>
              <w:cnfStyle w:val="0000000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35,8</w:t>
            </w:r>
          </w:p>
        </w:tc>
      </w:tr>
      <w:tr w:rsidR="00A35AED" w:rsidRPr="00C36B9C" w:rsidTr="0003153F">
        <w:trPr>
          <w:cnfStyle w:val="000000100000"/>
          <w:trHeight w:val="525"/>
          <w:jc w:val="center"/>
        </w:trPr>
        <w:tc>
          <w:tcPr>
            <w:cnfStyle w:val="001000000000"/>
            <w:tcW w:w="6658" w:type="dxa"/>
            <w:vAlign w:val="center"/>
            <w:hideMark/>
          </w:tcPr>
          <w:p w:rsidR="00A35AED" w:rsidRPr="00C36B9C" w:rsidRDefault="00A35AED" w:rsidP="00A35AED">
            <w:pP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 xml:space="preserve">No puede permitirse ir de vacaciones </w:t>
            </w:r>
            <w:r w:rsidR="00E42533"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 xml:space="preserve">fuera de casa </w:t>
            </w: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al menos una semana al año</w:t>
            </w:r>
          </w:p>
        </w:tc>
        <w:tc>
          <w:tcPr>
            <w:tcW w:w="842" w:type="dxa"/>
            <w:noWrap/>
            <w:vAlign w:val="center"/>
            <w:hideMark/>
          </w:tcPr>
          <w:p w:rsidR="00A35AED" w:rsidRPr="00C36B9C" w:rsidRDefault="00A35AED" w:rsidP="00A35AED">
            <w:pPr>
              <w:jc w:val="right"/>
              <w:cnfStyle w:val="0000001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33,4</w:t>
            </w:r>
          </w:p>
        </w:tc>
      </w:tr>
      <w:tr w:rsidR="00A35AED" w:rsidRPr="00C36B9C" w:rsidTr="0003153F">
        <w:trPr>
          <w:trHeight w:val="525"/>
          <w:jc w:val="center"/>
        </w:trPr>
        <w:tc>
          <w:tcPr>
            <w:cnfStyle w:val="001000000000"/>
            <w:tcW w:w="6658" w:type="dxa"/>
            <w:vAlign w:val="center"/>
            <w:hideMark/>
          </w:tcPr>
          <w:p w:rsidR="00A35AED" w:rsidRPr="00C36B9C" w:rsidRDefault="00A35AED" w:rsidP="00A35AED">
            <w:pP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 xml:space="preserve">No puede permitirse mantener la vivienda con una temperatura adecuada </w:t>
            </w:r>
            <w:r w:rsidR="00E42533"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durante los meses fríos</w:t>
            </w:r>
          </w:p>
        </w:tc>
        <w:tc>
          <w:tcPr>
            <w:tcW w:w="842" w:type="dxa"/>
            <w:noWrap/>
            <w:vAlign w:val="center"/>
            <w:hideMark/>
          </w:tcPr>
          <w:p w:rsidR="00A35AED" w:rsidRPr="00C36B9C" w:rsidRDefault="00A35AED" w:rsidP="00A35AED">
            <w:pPr>
              <w:jc w:val="right"/>
              <w:cnfStyle w:val="0000000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17,6</w:t>
            </w:r>
          </w:p>
        </w:tc>
      </w:tr>
      <w:tr w:rsidR="00A35AED" w:rsidRPr="00C36B9C" w:rsidTr="0003153F">
        <w:trPr>
          <w:cnfStyle w:val="000000100000"/>
          <w:trHeight w:val="811"/>
          <w:jc w:val="center"/>
        </w:trPr>
        <w:tc>
          <w:tcPr>
            <w:cnfStyle w:val="001000000000"/>
            <w:tcW w:w="6658" w:type="dxa"/>
            <w:vAlign w:val="center"/>
            <w:hideMark/>
          </w:tcPr>
          <w:p w:rsidR="00A35AED" w:rsidRPr="00C36B9C" w:rsidRDefault="00A35AED" w:rsidP="00A35AED">
            <w:pP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Ha tenido retrasos en el pago de gastos relacionados con la vivienda principal (hipoteca o alquiler, recibos de gas, comunidad...) en los últimos 12 meses</w:t>
            </w:r>
          </w:p>
        </w:tc>
        <w:tc>
          <w:tcPr>
            <w:tcW w:w="842" w:type="dxa"/>
            <w:noWrap/>
            <w:vAlign w:val="center"/>
            <w:hideMark/>
          </w:tcPr>
          <w:p w:rsidR="00A35AED" w:rsidRPr="00C36B9C" w:rsidRDefault="00A35AED" w:rsidP="00A35AED">
            <w:pPr>
              <w:jc w:val="right"/>
              <w:cnfStyle w:val="0000001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12,0</w:t>
            </w:r>
          </w:p>
        </w:tc>
      </w:tr>
      <w:tr w:rsidR="00F25D61" w:rsidRPr="00C36B9C" w:rsidTr="0003153F">
        <w:trPr>
          <w:trHeight w:val="525"/>
          <w:jc w:val="center"/>
        </w:trPr>
        <w:tc>
          <w:tcPr>
            <w:cnfStyle w:val="001000000000"/>
            <w:tcW w:w="6658" w:type="dxa"/>
            <w:vAlign w:val="center"/>
          </w:tcPr>
          <w:p w:rsidR="00F25D61" w:rsidRPr="00C36B9C" w:rsidRDefault="00F25D61" w:rsidP="00A62F07">
            <w:pPr>
              <w:rPr>
                <w:rFonts w:cs="Calibri"/>
                <w:color w:val="000000"/>
                <w:sz w:val="22"/>
                <w:szCs w:val="22"/>
              </w:rPr>
            </w:pPr>
            <w:r w:rsidRPr="00C36B9C">
              <w:rPr>
                <w:rFonts w:cs="Calibri"/>
                <w:color w:val="000000"/>
                <w:sz w:val="22"/>
                <w:szCs w:val="22"/>
              </w:rPr>
              <w:t>No puede permitirse disponer de un ordenador personal</w:t>
            </w:r>
          </w:p>
        </w:tc>
        <w:tc>
          <w:tcPr>
            <w:tcW w:w="842" w:type="dxa"/>
            <w:noWrap/>
            <w:vAlign w:val="center"/>
          </w:tcPr>
          <w:p w:rsidR="00F25D61" w:rsidRPr="00C36B9C" w:rsidRDefault="00F25D61" w:rsidP="00123F3D">
            <w:pPr>
              <w:tabs>
                <w:tab w:val="left" w:pos="375"/>
              </w:tabs>
              <w:jc w:val="right"/>
              <w:cnfStyle w:val="0000000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ab/>
              <w:t>6,3</w:t>
            </w:r>
          </w:p>
        </w:tc>
      </w:tr>
      <w:tr w:rsidR="00F25D61" w:rsidRPr="00C36B9C" w:rsidTr="0003153F">
        <w:trPr>
          <w:cnfStyle w:val="000000100000"/>
          <w:trHeight w:val="525"/>
          <w:jc w:val="center"/>
        </w:trPr>
        <w:tc>
          <w:tcPr>
            <w:cnfStyle w:val="001000000000"/>
            <w:tcW w:w="6658" w:type="dxa"/>
            <w:vAlign w:val="center"/>
            <w:hideMark/>
          </w:tcPr>
          <w:p w:rsidR="00F25D61" w:rsidRPr="00C36B9C" w:rsidRDefault="00F25D61" w:rsidP="00A62F07">
            <w:pP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No puede permitirse una comida de carne, pollo o pescado al menos cada dos días</w:t>
            </w:r>
          </w:p>
        </w:tc>
        <w:tc>
          <w:tcPr>
            <w:tcW w:w="842" w:type="dxa"/>
            <w:noWrap/>
            <w:vAlign w:val="center"/>
            <w:hideMark/>
          </w:tcPr>
          <w:p w:rsidR="00F25D61" w:rsidRPr="00C36B9C" w:rsidRDefault="00F25D61" w:rsidP="00A62F07">
            <w:pPr>
              <w:jc w:val="right"/>
              <w:cnfStyle w:val="00000010000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36B9C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s-ES"/>
              </w:rPr>
              <w:t>6,1</w:t>
            </w:r>
          </w:p>
        </w:tc>
      </w:tr>
    </w:tbl>
    <w:p w:rsidR="002E6987" w:rsidRDefault="002E6987">
      <w:pPr>
        <w:rPr>
          <w:b/>
          <w:bCs/>
        </w:rPr>
      </w:pPr>
    </w:p>
    <w:p w:rsidR="00404949" w:rsidRDefault="00404949" w:rsidP="00527225">
      <w:pPr>
        <w:pStyle w:val="Ttulo1"/>
      </w:pPr>
    </w:p>
    <w:p w:rsidR="00EF77D3" w:rsidRDefault="00F83E33" w:rsidP="00527225">
      <w:pPr>
        <w:pStyle w:val="Ttulo1"/>
      </w:pPr>
      <w:bookmarkStart w:id="4" w:name="_Toc211528563"/>
      <w:r>
        <w:t>LA POBREZA</w:t>
      </w:r>
      <w:r w:rsidR="004817C7">
        <w:t xml:space="preserve"> MONETARIA</w:t>
      </w:r>
      <w:r>
        <w:t xml:space="preserve"> SEVERA</w:t>
      </w:r>
      <w:r w:rsidR="004817C7">
        <w:t xml:space="preserve"> (40% DE LA RENTA MEDIANA)</w:t>
      </w:r>
      <w:bookmarkEnd w:id="4"/>
    </w:p>
    <w:p w:rsidR="00604D9F" w:rsidRDefault="0091323A" w:rsidP="00EF77D3">
      <w:r>
        <w:t xml:space="preserve">La pobreza severa afecta a aquellas personas que viven en hogares con ingresos inferiores al 40% de la renta mediana, que en </w:t>
      </w:r>
      <w:r w:rsidR="0094035D">
        <w:t xml:space="preserve">2024 significa unos ingresos mensuales de </w:t>
      </w:r>
      <w:r w:rsidR="004817C7">
        <w:t>551</w:t>
      </w:r>
      <w:r w:rsidR="0094035D">
        <w:t xml:space="preserve"> euros al mes (7.722 euros al año</w:t>
      </w:r>
      <w:r w:rsidR="004817C7">
        <w:t xml:space="preserve"> en 14</w:t>
      </w:r>
      <w:r w:rsidR="00DB732D">
        <w:t xml:space="preserve"> mensualidades</w:t>
      </w:r>
      <w:r w:rsidR="0094035D">
        <w:t>) para un hogar unipersonal</w:t>
      </w:r>
      <w:r w:rsidR="00CD6736">
        <w:t xml:space="preserve">. </w:t>
      </w:r>
    </w:p>
    <w:p w:rsidR="00CD6736" w:rsidRDefault="00FF4AD6" w:rsidP="00EF77D3">
      <w:r>
        <w:t xml:space="preserve">El </w:t>
      </w:r>
      <w:r w:rsidR="00CD6736">
        <w:t>8,4% de la población</w:t>
      </w:r>
      <w:r>
        <w:t xml:space="preserve"> está en pobreza severa</w:t>
      </w:r>
      <w:r w:rsidR="00CD6736">
        <w:t>, unos 4 millones de personas.</w:t>
      </w:r>
    </w:p>
    <w:p w:rsidR="001A2B4F" w:rsidRDefault="001A2B4F" w:rsidP="001A2B4F">
      <w:r>
        <w:t>Estas cifras implican que</w:t>
      </w:r>
      <w:r w:rsidR="00FF4AD6">
        <w:t>,</w:t>
      </w:r>
      <w:r>
        <w:t xml:space="preserve"> entre los 9,5 millones de personas que están bajo el umbral de pobreza monetaria definido en la tasa AROPE –es decir, con ingresos inferiores al 60% de la renta mediana—, el 43% </w:t>
      </w:r>
      <w:r w:rsidR="00FF4AD6">
        <w:t xml:space="preserve">se encuentra </w:t>
      </w:r>
      <w:r>
        <w:t xml:space="preserve">en pobreza severa. </w:t>
      </w:r>
    </w:p>
    <w:p w:rsidR="00DE437B" w:rsidRDefault="00DE437B" w:rsidP="001A2B4F">
      <w:r>
        <w:t>En cuanto a la evolución, las cifras de pobreza severa en 2023 y 2024 son las más bajas desde 2010.</w:t>
      </w:r>
    </w:p>
    <w:p w:rsidR="00F31106" w:rsidRDefault="00F31106" w:rsidP="001A2B4F">
      <w:r>
        <w:t>En el contexto europeo, España es el segundo país con la tasa más alta de pobreza severa.</w:t>
      </w:r>
    </w:p>
    <w:p w:rsidR="00404949" w:rsidRDefault="00404949" w:rsidP="001A2B4F"/>
    <w:p w:rsidR="00604D9F" w:rsidRDefault="00604D9F" w:rsidP="00604D9F">
      <w:pPr>
        <w:jc w:val="center"/>
        <w:rPr>
          <w:b/>
          <w:bCs/>
        </w:rPr>
      </w:pPr>
      <w:r>
        <w:rPr>
          <w:b/>
          <w:bCs/>
          <w:noProof/>
          <w:lang w:eastAsia="es-ES"/>
        </w:rPr>
        <w:drawing>
          <wp:inline distT="0" distB="0" distL="0" distR="0">
            <wp:extent cx="4578350" cy="2755900"/>
            <wp:effectExtent l="0" t="0" r="0" b="6350"/>
            <wp:docPr id="16489753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4AD6" w:rsidRDefault="00FF4AD6" w:rsidP="00604D9F">
      <w:pPr>
        <w:jc w:val="center"/>
        <w:rPr>
          <w:b/>
          <w:bCs/>
        </w:rPr>
      </w:pPr>
    </w:p>
    <w:p w:rsidR="00404949" w:rsidRDefault="00404949">
      <w:pPr>
        <w:jc w:val="left"/>
        <w:rPr>
          <w:rFonts w:eastAsiaTheme="majorEastAsia" w:cstheme="majorBidi"/>
          <w:b/>
          <w:color w:val="EE0000"/>
          <w:szCs w:val="40"/>
        </w:rPr>
      </w:pPr>
      <w:r>
        <w:br w:type="page"/>
      </w:r>
    </w:p>
    <w:p w:rsidR="00404949" w:rsidRDefault="00404949" w:rsidP="00527225">
      <w:pPr>
        <w:pStyle w:val="Ttulo1"/>
      </w:pPr>
    </w:p>
    <w:p w:rsidR="00FF4AD6" w:rsidRDefault="00F83E33" w:rsidP="00527225">
      <w:pPr>
        <w:pStyle w:val="Ttulo1"/>
      </w:pPr>
      <w:bookmarkStart w:id="5" w:name="_Toc211528564"/>
      <w:r>
        <w:t xml:space="preserve">EL </w:t>
      </w:r>
      <w:r w:rsidR="00527225">
        <w:t>IMPACTO</w:t>
      </w:r>
      <w:r>
        <w:t xml:space="preserve"> DE LAS TRANSFERENCIAS DEL ESTADO</w:t>
      </w:r>
      <w:bookmarkEnd w:id="5"/>
    </w:p>
    <w:p w:rsidR="007746F7" w:rsidRDefault="007746F7" w:rsidP="007746F7">
      <w:r>
        <w:t xml:space="preserve">Las transferencias del Estado en forma de prestaciones sociales consiguen reducir la tasa de pobreza monetaria </w:t>
      </w:r>
      <w:r w:rsidR="00052D3F">
        <w:t xml:space="preserve">a la mitad, </w:t>
      </w:r>
      <w:r>
        <w:t xml:space="preserve">del 42,6% de la población al 19,7%. La acción del Estado </w:t>
      </w:r>
      <w:r w:rsidR="00052D3F">
        <w:t>logra</w:t>
      </w:r>
      <w:r>
        <w:t xml:space="preserve"> que 11,1 millones de personas (el 22,9% de la población) salgan de la pobreza</w:t>
      </w:r>
      <w:r>
        <w:rPr>
          <w:rStyle w:val="Refdenotaalpie"/>
        </w:rPr>
        <w:footnoteReference w:id="1"/>
      </w:r>
      <w:r>
        <w:t xml:space="preserve">. </w:t>
      </w:r>
    </w:p>
    <w:p w:rsidR="007746F7" w:rsidRDefault="007746F7" w:rsidP="007746F7">
      <w:r>
        <w:t xml:space="preserve">El mayor impacto se </w:t>
      </w:r>
      <w:r w:rsidR="00052D3F">
        <w:t>alcanza</w:t>
      </w:r>
      <w:r>
        <w:t xml:space="preserve"> a través del </w:t>
      </w:r>
      <w:r w:rsidRPr="00356414">
        <w:rPr>
          <w:b/>
          <w:bCs/>
        </w:rPr>
        <w:t>sistema público de pensiones</w:t>
      </w:r>
      <w:r>
        <w:t xml:space="preserve">. Un total de 8,1 millones de personas (el 16,7% de la población) sale de la pobreza gracias a las pensiones públicas. </w:t>
      </w:r>
    </w:p>
    <w:p w:rsidR="007746F7" w:rsidRDefault="007746F7" w:rsidP="007746F7">
      <w:r>
        <w:t>Otras prestaciones de las Administraciones Públicas consiguen que salgan de la pobreza monetaria 3 millones de personas más (el 6,2% de la población). Sin embargo, la eficacia de estas prestaciones en España es menor que en el conjunto de la UE, donde logran reducir la pobreza para el 8,2% de la población</w:t>
      </w:r>
      <w:r w:rsidR="00FF15A2">
        <w:t xml:space="preserve"> (ver gráfico adjunto)</w:t>
      </w:r>
      <w:r>
        <w:t xml:space="preserve">. </w:t>
      </w:r>
    </w:p>
    <w:p w:rsidR="007746F7" w:rsidRPr="007746F7" w:rsidRDefault="007746F7" w:rsidP="007746F7"/>
    <w:p w:rsidR="005C6785" w:rsidRDefault="005C6785" w:rsidP="00151F43">
      <w:pPr>
        <w:spacing w:after="0" w:line="240" w:lineRule="auto"/>
        <w:jc w:val="center"/>
        <w:rPr>
          <w:rFonts w:eastAsia="Times New Roman" w:cs="Calibri"/>
          <w:color w:val="000000"/>
          <w:kern w:val="0"/>
          <w:lang w:eastAsia="es-ES"/>
        </w:rPr>
      </w:pPr>
    </w:p>
    <w:p w:rsidR="005C6785" w:rsidRDefault="005C6785">
      <w:pPr>
        <w:jc w:val="left"/>
        <w:rPr>
          <w:rFonts w:eastAsia="Times New Roman" w:cs="Calibri"/>
          <w:color w:val="000000"/>
          <w:kern w:val="0"/>
          <w:lang w:eastAsia="es-ES"/>
        </w:rPr>
      </w:pPr>
      <w:r>
        <w:rPr>
          <w:rFonts w:eastAsia="Times New Roman" w:cs="Calibri"/>
          <w:color w:val="000000"/>
          <w:kern w:val="0"/>
          <w:lang w:eastAsia="es-ES"/>
        </w:rPr>
        <w:br w:type="page"/>
      </w:r>
    </w:p>
    <w:p w:rsidR="00151F43" w:rsidRPr="00F83E33" w:rsidRDefault="00151F43" w:rsidP="00151F43">
      <w:pPr>
        <w:spacing w:after="0" w:line="240" w:lineRule="auto"/>
        <w:jc w:val="center"/>
        <w:rPr>
          <w:rFonts w:eastAsia="Times New Roman" w:cs="Calibri"/>
          <w:color w:val="000000"/>
          <w:kern w:val="0"/>
          <w:lang w:eastAsia="es-ES"/>
        </w:rPr>
      </w:pPr>
      <w:r w:rsidRPr="00151F43">
        <w:rPr>
          <w:rFonts w:eastAsia="Times New Roman" w:cs="Calibri"/>
          <w:color w:val="000000"/>
          <w:kern w:val="0"/>
          <w:lang w:eastAsia="es-ES"/>
        </w:rPr>
        <w:lastRenderedPageBreak/>
        <w:t>Impacto de las transferencias del Estado. % de población</w:t>
      </w:r>
    </w:p>
    <w:p w:rsidR="005E6604" w:rsidRDefault="00151F43" w:rsidP="00151F43">
      <w:pPr>
        <w:spacing w:after="0" w:line="240" w:lineRule="auto"/>
        <w:jc w:val="center"/>
        <w:rPr>
          <w:rFonts w:eastAsia="Times New Roman" w:cs="Calibri"/>
          <w:color w:val="000000"/>
          <w:kern w:val="0"/>
          <w:lang w:eastAsia="es-ES"/>
        </w:rPr>
      </w:pPr>
      <w:r w:rsidRPr="00151F43">
        <w:rPr>
          <w:rFonts w:eastAsia="Times New Roman" w:cs="Calibri"/>
          <w:color w:val="000000"/>
          <w:kern w:val="0"/>
          <w:lang w:eastAsia="es-ES"/>
        </w:rPr>
        <w:t>que sale de la pobreza monetaria después de las transferencias</w:t>
      </w:r>
      <w:r w:rsidRPr="00F83E33">
        <w:rPr>
          <w:rFonts w:eastAsia="Times New Roman" w:cs="Calibri"/>
          <w:color w:val="000000"/>
          <w:kern w:val="0"/>
          <w:lang w:eastAsia="es-ES"/>
        </w:rPr>
        <w:t xml:space="preserve"> del Estado</w:t>
      </w:r>
      <w:r w:rsidR="005E6604">
        <w:rPr>
          <w:rFonts w:eastAsia="Times New Roman" w:cs="Calibri"/>
          <w:color w:val="000000"/>
          <w:kern w:val="0"/>
          <w:lang w:eastAsia="es-ES"/>
        </w:rPr>
        <w:t xml:space="preserve"> </w:t>
      </w:r>
    </w:p>
    <w:p w:rsidR="00151F43" w:rsidRPr="00F83E33" w:rsidRDefault="005E6604" w:rsidP="00151F43">
      <w:pPr>
        <w:spacing w:after="0" w:line="240" w:lineRule="auto"/>
        <w:jc w:val="center"/>
        <w:rPr>
          <w:rFonts w:eastAsia="Times New Roman" w:cs="Calibri"/>
          <w:color w:val="000000"/>
          <w:kern w:val="0"/>
          <w:lang w:eastAsia="es-ES"/>
        </w:rPr>
      </w:pPr>
      <w:r>
        <w:rPr>
          <w:rFonts w:eastAsia="Times New Roman" w:cs="Calibri"/>
          <w:color w:val="000000"/>
          <w:kern w:val="0"/>
          <w:lang w:eastAsia="es-ES"/>
        </w:rPr>
        <w:t>(sin considerar las pensiones)</w:t>
      </w:r>
      <w:r w:rsidR="00151F43" w:rsidRPr="00151F43">
        <w:rPr>
          <w:rFonts w:eastAsia="Times New Roman" w:cs="Calibri"/>
          <w:color w:val="000000"/>
          <w:kern w:val="0"/>
          <w:lang w:eastAsia="es-ES"/>
        </w:rPr>
        <w:t>,</w:t>
      </w:r>
      <w:r>
        <w:rPr>
          <w:rFonts w:eastAsia="Times New Roman" w:cs="Calibri"/>
          <w:color w:val="000000"/>
          <w:kern w:val="0"/>
          <w:lang w:eastAsia="es-ES"/>
        </w:rPr>
        <w:t xml:space="preserve"> </w:t>
      </w:r>
      <w:r w:rsidR="00151F43" w:rsidRPr="00151F43">
        <w:rPr>
          <w:rFonts w:eastAsia="Times New Roman" w:cs="Calibri"/>
          <w:color w:val="000000"/>
          <w:kern w:val="0"/>
          <w:lang w:eastAsia="es-ES"/>
        </w:rPr>
        <w:t>Eurostat 2024, EU-SILC</w:t>
      </w:r>
    </w:p>
    <w:p w:rsidR="00151F43" w:rsidRDefault="00151F43">
      <w:pPr>
        <w:jc w:val="left"/>
      </w:pPr>
    </w:p>
    <w:p w:rsidR="00151F43" w:rsidRPr="00964655" w:rsidRDefault="00151F43" w:rsidP="00151F43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581525" cy="6724650"/>
            <wp:effectExtent l="0" t="0" r="9525" b="0"/>
            <wp:docPr id="1036294407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294407" name=""/>
                    <pic:cNvPicPr/>
                  </pic:nvPicPr>
                  <pic:blipFill>
                    <a:blip r:embed="rId11" cstate="print">
                      <a:extLs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AD6" w:rsidRPr="00FF4AD6" w:rsidRDefault="00FF4AD6" w:rsidP="00FF4AD6"/>
    <w:p w:rsidR="003824F9" w:rsidRPr="007F7D99" w:rsidRDefault="003824F9" w:rsidP="00CA0751">
      <w:pPr>
        <w:rPr>
          <w:b/>
          <w:bCs/>
        </w:rPr>
      </w:pPr>
    </w:p>
    <w:sectPr w:rsidR="003824F9" w:rsidRPr="007F7D99" w:rsidSect="009E7684">
      <w:headerReference w:type="default" r:id="rId13"/>
      <w:footerReference w:type="default" r:id="rId14"/>
      <w:headerReference w:type="first" r:id="rId15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DC" w:rsidRDefault="00B96FDC" w:rsidP="00507738">
      <w:pPr>
        <w:spacing w:after="0" w:line="240" w:lineRule="auto"/>
      </w:pPr>
      <w:r>
        <w:separator/>
      </w:r>
    </w:p>
  </w:endnote>
  <w:endnote w:type="continuationSeparator" w:id="0">
    <w:p w:rsidR="00B96FDC" w:rsidRDefault="00B96FDC" w:rsidP="0050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8006991"/>
      <w:docPartObj>
        <w:docPartGallery w:val="Page Numbers (Bottom of Page)"/>
        <w:docPartUnique/>
      </w:docPartObj>
    </w:sdtPr>
    <w:sdtContent>
      <w:p w:rsidR="00507738" w:rsidRDefault="00A058D0">
        <w:pPr>
          <w:pStyle w:val="Piedepgina"/>
          <w:jc w:val="center"/>
        </w:pPr>
        <w:r>
          <w:fldChar w:fldCharType="begin"/>
        </w:r>
        <w:r w:rsidR="00507738">
          <w:instrText>PAGE   \* MERGEFORMAT</w:instrText>
        </w:r>
        <w:r>
          <w:fldChar w:fldCharType="separate"/>
        </w:r>
        <w:r w:rsidR="00843F56">
          <w:rPr>
            <w:noProof/>
          </w:rPr>
          <w:t>2</w:t>
        </w:r>
        <w:r>
          <w:fldChar w:fldCharType="end"/>
        </w:r>
      </w:p>
    </w:sdtContent>
  </w:sdt>
  <w:p w:rsidR="00507738" w:rsidRDefault="0050773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DC" w:rsidRDefault="00B96FDC" w:rsidP="00507738">
      <w:pPr>
        <w:spacing w:after="0" w:line="240" w:lineRule="auto"/>
      </w:pPr>
      <w:r>
        <w:separator/>
      </w:r>
    </w:p>
  </w:footnote>
  <w:footnote w:type="continuationSeparator" w:id="0">
    <w:p w:rsidR="00B96FDC" w:rsidRDefault="00B96FDC" w:rsidP="00507738">
      <w:pPr>
        <w:spacing w:after="0" w:line="240" w:lineRule="auto"/>
      </w:pPr>
      <w:r>
        <w:continuationSeparator/>
      </w:r>
    </w:p>
  </w:footnote>
  <w:footnote w:id="1">
    <w:p w:rsidR="007746F7" w:rsidRDefault="007746F7" w:rsidP="007746F7">
      <w:pPr>
        <w:pStyle w:val="Textonotapie"/>
      </w:pPr>
      <w:r>
        <w:rPr>
          <w:rStyle w:val="Refdenotaalpie"/>
        </w:rPr>
        <w:footnoteRef/>
      </w:r>
      <w:r>
        <w:t xml:space="preserve"> Cálculos realizados a partir de los microdatos del INE explotados por EAPN (2025) El estado de la pobreza, 15º informe. Pobreza y territorio: comunidades autónomas y UE. Págs. 64 y ss.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567" w:type="dxa"/>
      <w:tblLayout w:type="fixed"/>
      <w:tblLook w:val="01E0"/>
    </w:tblPr>
    <w:tblGrid>
      <w:gridCol w:w="1985"/>
      <w:gridCol w:w="5954"/>
      <w:gridCol w:w="1985"/>
    </w:tblGrid>
    <w:tr w:rsidR="009E7684" w:rsidTr="00122D31">
      <w:trPr>
        <w:trHeight w:hRule="exact" w:val="340"/>
      </w:trPr>
      <w:tc>
        <w:tcPr>
          <w:tcW w:w="1985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9E7684" w:rsidRPr="005B2A6A" w:rsidRDefault="009E7684" w:rsidP="009E7684">
          <w:pPr>
            <w:pStyle w:val="DestinatarioyDatosencabezado"/>
          </w:pPr>
          <w:r>
            <w:rPr>
              <w:noProof/>
            </w:rPr>
            <w:drawing>
              <wp:inline distT="0" distB="0" distL="0" distR="0">
                <wp:extent cx="647700" cy="215900"/>
                <wp:effectExtent l="0" t="0" r="0" b="0"/>
                <wp:docPr id="2051411504" name="Imagen 5" descr="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1411504" name="Imagen 5" descr="Logotip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left w:val="single" w:sz="4" w:space="0" w:color="auto"/>
          </w:tcBorders>
          <w:noWrap/>
          <w:tcMar>
            <w:left w:w="113" w:type="dxa"/>
            <w:right w:w="-1" w:type="dxa"/>
          </w:tcMar>
        </w:tcPr>
        <w:p w:rsidR="009E7684" w:rsidRDefault="009E7684" w:rsidP="009E7684">
          <w:pPr>
            <w:pStyle w:val="Cabeceraorganizacion"/>
          </w:pPr>
          <w:r>
            <w:t>confederación sindical de comisiones obreras</w:t>
          </w:r>
        </w:p>
      </w:tc>
      <w:tc>
        <w:tcPr>
          <w:tcW w:w="1985" w:type="dxa"/>
          <w:noWrap/>
          <w:tcMar>
            <w:left w:w="113" w:type="dxa"/>
            <w:right w:w="0" w:type="dxa"/>
          </w:tcMar>
        </w:tcPr>
        <w:p w:rsidR="009E7684" w:rsidRPr="00B13880" w:rsidRDefault="009E7684" w:rsidP="009E7684">
          <w:pPr>
            <w:pStyle w:val="CabeceraseparacionURL"/>
          </w:pPr>
          <w:r w:rsidRPr="00DE7724">
            <w:t xml:space="preserve">| </w:t>
          </w:r>
          <w:r w:rsidRPr="00E04C5B">
            <w:rPr>
              <w:rStyle w:val="CabeceraURLCar"/>
            </w:rPr>
            <w:t>www.ccoo.es</w:t>
          </w:r>
        </w:p>
      </w:tc>
    </w:tr>
    <w:tr w:rsidR="009E7684" w:rsidTr="00122D31">
      <w:trPr>
        <w:trHeight w:val="739"/>
      </w:trPr>
      <w:tc>
        <w:tcPr>
          <w:tcW w:w="1985" w:type="dxa"/>
          <w:vMerge/>
          <w:tcBorders>
            <w:right w:val="single" w:sz="4" w:space="0" w:color="auto"/>
          </w:tcBorders>
        </w:tcPr>
        <w:p w:rsidR="009E7684" w:rsidRPr="005B2A6A" w:rsidRDefault="009E7684" w:rsidP="009E7684"/>
      </w:tc>
      <w:tc>
        <w:tcPr>
          <w:tcW w:w="5954" w:type="dxa"/>
          <w:gridSpan w:val="2"/>
          <w:tcBorders>
            <w:left w:val="single" w:sz="4" w:space="0" w:color="auto"/>
          </w:tcBorders>
          <w:tcMar>
            <w:top w:w="0" w:type="dxa"/>
            <w:left w:w="113" w:type="dxa"/>
            <w:right w:w="0" w:type="dxa"/>
          </w:tcMar>
        </w:tcPr>
        <w:p w:rsidR="009E7684" w:rsidRPr="00C7573B" w:rsidRDefault="009E7684" w:rsidP="009E7684">
          <w:pPr>
            <w:pStyle w:val="Cabecerasecretariaydireccion"/>
          </w:pPr>
          <w:r w:rsidRPr="00C7573B">
            <w:t>Fernández de la Hoz, 12. 28010 Madrid. Tel.: 917028000</w:t>
          </w:r>
        </w:p>
      </w:tc>
    </w:tr>
  </w:tbl>
  <w:p w:rsidR="009E7684" w:rsidRDefault="009E768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567" w:type="dxa"/>
      <w:tblLayout w:type="fixed"/>
      <w:tblLook w:val="01E0"/>
    </w:tblPr>
    <w:tblGrid>
      <w:gridCol w:w="1985"/>
      <w:gridCol w:w="5954"/>
      <w:gridCol w:w="1985"/>
    </w:tblGrid>
    <w:tr w:rsidR="009E7684" w:rsidTr="00122D31">
      <w:trPr>
        <w:trHeight w:hRule="exact" w:val="340"/>
      </w:trPr>
      <w:tc>
        <w:tcPr>
          <w:tcW w:w="1985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9E7684" w:rsidRPr="005B2A6A" w:rsidRDefault="009E7684" w:rsidP="009E7684">
          <w:pPr>
            <w:pStyle w:val="DestinatarioyDatosencabezado"/>
          </w:pPr>
          <w:r>
            <w:rPr>
              <w:noProof/>
            </w:rPr>
            <w:drawing>
              <wp:inline distT="0" distB="0" distL="0" distR="0">
                <wp:extent cx="742950" cy="257175"/>
                <wp:effectExtent l="0" t="0" r="0" b="9525"/>
                <wp:docPr id="719568034" name="Imagen 4" descr="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9568034" name="Imagen 4" descr="Logotip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left w:val="single" w:sz="4" w:space="0" w:color="auto"/>
          </w:tcBorders>
          <w:noWrap/>
          <w:tcMar>
            <w:left w:w="113" w:type="dxa"/>
            <w:right w:w="-1" w:type="dxa"/>
          </w:tcMar>
        </w:tcPr>
        <w:p w:rsidR="009E7684" w:rsidRDefault="009E7684" w:rsidP="009E7684">
          <w:pPr>
            <w:pStyle w:val="Cabeceraorganizacion"/>
          </w:pPr>
          <w:r>
            <w:t>confederación sindical de comisiones obreras</w:t>
          </w:r>
        </w:p>
      </w:tc>
      <w:tc>
        <w:tcPr>
          <w:tcW w:w="1985" w:type="dxa"/>
          <w:noWrap/>
          <w:tcMar>
            <w:left w:w="113" w:type="dxa"/>
            <w:right w:w="0" w:type="dxa"/>
          </w:tcMar>
        </w:tcPr>
        <w:p w:rsidR="009E7684" w:rsidRPr="00B13880" w:rsidRDefault="009E7684" w:rsidP="009E7684">
          <w:pPr>
            <w:pStyle w:val="CabeceraseparacionURL"/>
          </w:pPr>
          <w:r w:rsidRPr="00DE7724">
            <w:t xml:space="preserve">| </w:t>
          </w:r>
          <w:r w:rsidRPr="00E04C5B">
            <w:rPr>
              <w:rStyle w:val="CabeceraURLCar"/>
            </w:rPr>
            <w:t>www.ccoo.es</w:t>
          </w:r>
        </w:p>
      </w:tc>
    </w:tr>
    <w:tr w:rsidR="009E7684" w:rsidTr="00122D31">
      <w:trPr>
        <w:trHeight w:val="739"/>
      </w:trPr>
      <w:tc>
        <w:tcPr>
          <w:tcW w:w="1985" w:type="dxa"/>
          <w:vMerge/>
          <w:tcBorders>
            <w:right w:val="single" w:sz="4" w:space="0" w:color="auto"/>
          </w:tcBorders>
        </w:tcPr>
        <w:p w:rsidR="009E7684" w:rsidRPr="005B2A6A" w:rsidRDefault="009E7684" w:rsidP="009E7684"/>
      </w:tc>
      <w:tc>
        <w:tcPr>
          <w:tcW w:w="5954" w:type="dxa"/>
          <w:gridSpan w:val="2"/>
          <w:tcBorders>
            <w:left w:val="single" w:sz="4" w:space="0" w:color="auto"/>
          </w:tcBorders>
          <w:tcMar>
            <w:top w:w="0" w:type="dxa"/>
            <w:left w:w="113" w:type="dxa"/>
            <w:right w:w="0" w:type="dxa"/>
          </w:tcMar>
        </w:tcPr>
        <w:p w:rsidR="009E7684" w:rsidRPr="00C7573B" w:rsidRDefault="009E7684" w:rsidP="009E7684">
          <w:pPr>
            <w:pStyle w:val="Cabecerasecretariaydireccion"/>
          </w:pPr>
          <w:r w:rsidRPr="00C7573B">
            <w:t>Fernández de la Hoz, 12. 28010 Madrid. Tel.: 917028000</w:t>
          </w:r>
        </w:p>
      </w:tc>
    </w:tr>
  </w:tbl>
  <w:p w:rsidR="009E7684" w:rsidRPr="009E7684" w:rsidRDefault="009E7684" w:rsidP="009E768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51D47"/>
    <w:multiLevelType w:val="hybridMultilevel"/>
    <w:tmpl w:val="C73CEC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41B24"/>
    <w:multiLevelType w:val="hybridMultilevel"/>
    <w:tmpl w:val="B0D42C4E"/>
    <w:lvl w:ilvl="0" w:tplc="A4501EB0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CFA3BBA"/>
    <w:multiLevelType w:val="hybridMultilevel"/>
    <w:tmpl w:val="27EE1A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9E4AD6"/>
    <w:multiLevelType w:val="multilevel"/>
    <w:tmpl w:val="87705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D25"/>
    <w:rsid w:val="0001589C"/>
    <w:rsid w:val="00026D25"/>
    <w:rsid w:val="00026EC9"/>
    <w:rsid w:val="0003153F"/>
    <w:rsid w:val="0003438D"/>
    <w:rsid w:val="00037506"/>
    <w:rsid w:val="00042901"/>
    <w:rsid w:val="00052D3F"/>
    <w:rsid w:val="000712B0"/>
    <w:rsid w:val="00075A3A"/>
    <w:rsid w:val="0007712B"/>
    <w:rsid w:val="000817E3"/>
    <w:rsid w:val="0009300B"/>
    <w:rsid w:val="000950EE"/>
    <w:rsid w:val="0009712F"/>
    <w:rsid w:val="001056BA"/>
    <w:rsid w:val="00106788"/>
    <w:rsid w:val="00120A75"/>
    <w:rsid w:val="00123F3D"/>
    <w:rsid w:val="0014304F"/>
    <w:rsid w:val="00151F43"/>
    <w:rsid w:val="001537DE"/>
    <w:rsid w:val="0016773F"/>
    <w:rsid w:val="001A1443"/>
    <w:rsid w:val="001A2B4F"/>
    <w:rsid w:val="001B5635"/>
    <w:rsid w:val="001B7124"/>
    <w:rsid w:val="001F0722"/>
    <w:rsid w:val="001F1D10"/>
    <w:rsid w:val="0022343D"/>
    <w:rsid w:val="00224CE4"/>
    <w:rsid w:val="00260678"/>
    <w:rsid w:val="00280A4B"/>
    <w:rsid w:val="002D0F57"/>
    <w:rsid w:val="002D50BE"/>
    <w:rsid w:val="002E6987"/>
    <w:rsid w:val="002F12B0"/>
    <w:rsid w:val="002F1CFA"/>
    <w:rsid w:val="003024A7"/>
    <w:rsid w:val="00312061"/>
    <w:rsid w:val="00316671"/>
    <w:rsid w:val="0032742E"/>
    <w:rsid w:val="00327E73"/>
    <w:rsid w:val="003319F0"/>
    <w:rsid w:val="00337A98"/>
    <w:rsid w:val="0034389B"/>
    <w:rsid w:val="00346A46"/>
    <w:rsid w:val="0034777C"/>
    <w:rsid w:val="00363D73"/>
    <w:rsid w:val="00366B31"/>
    <w:rsid w:val="00374867"/>
    <w:rsid w:val="0037639A"/>
    <w:rsid w:val="003824F9"/>
    <w:rsid w:val="0039507D"/>
    <w:rsid w:val="003959A9"/>
    <w:rsid w:val="003B002F"/>
    <w:rsid w:val="003D21AF"/>
    <w:rsid w:val="003E3041"/>
    <w:rsid w:val="003F781F"/>
    <w:rsid w:val="00404949"/>
    <w:rsid w:val="004205D3"/>
    <w:rsid w:val="004208C2"/>
    <w:rsid w:val="00435BEF"/>
    <w:rsid w:val="00454619"/>
    <w:rsid w:val="0047603F"/>
    <w:rsid w:val="004817C7"/>
    <w:rsid w:val="004D5DF1"/>
    <w:rsid w:val="00507738"/>
    <w:rsid w:val="00515453"/>
    <w:rsid w:val="00515F38"/>
    <w:rsid w:val="00527225"/>
    <w:rsid w:val="0053748C"/>
    <w:rsid w:val="00543AF7"/>
    <w:rsid w:val="005514DC"/>
    <w:rsid w:val="00570C1F"/>
    <w:rsid w:val="00592FEC"/>
    <w:rsid w:val="005A096D"/>
    <w:rsid w:val="005A6414"/>
    <w:rsid w:val="005C6785"/>
    <w:rsid w:val="005E6604"/>
    <w:rsid w:val="00604D9F"/>
    <w:rsid w:val="00617040"/>
    <w:rsid w:val="006429DB"/>
    <w:rsid w:val="0066080F"/>
    <w:rsid w:val="00663598"/>
    <w:rsid w:val="00664FAF"/>
    <w:rsid w:val="00680DB8"/>
    <w:rsid w:val="00684499"/>
    <w:rsid w:val="006A17F3"/>
    <w:rsid w:val="006D1940"/>
    <w:rsid w:val="006E4855"/>
    <w:rsid w:val="006E5E2F"/>
    <w:rsid w:val="006F3F71"/>
    <w:rsid w:val="006F7763"/>
    <w:rsid w:val="00710E7C"/>
    <w:rsid w:val="00760311"/>
    <w:rsid w:val="007746F7"/>
    <w:rsid w:val="00776D3B"/>
    <w:rsid w:val="00781DFD"/>
    <w:rsid w:val="00794DF7"/>
    <w:rsid w:val="00796773"/>
    <w:rsid w:val="007C6C80"/>
    <w:rsid w:val="007F7D99"/>
    <w:rsid w:val="00802FB6"/>
    <w:rsid w:val="008209C8"/>
    <w:rsid w:val="00836861"/>
    <w:rsid w:val="00843F56"/>
    <w:rsid w:val="00856964"/>
    <w:rsid w:val="008752C0"/>
    <w:rsid w:val="00881BA4"/>
    <w:rsid w:val="008A0386"/>
    <w:rsid w:val="008B18AC"/>
    <w:rsid w:val="008E672E"/>
    <w:rsid w:val="00911A2B"/>
    <w:rsid w:val="0091323A"/>
    <w:rsid w:val="0094035D"/>
    <w:rsid w:val="00943B6C"/>
    <w:rsid w:val="0095412F"/>
    <w:rsid w:val="00964655"/>
    <w:rsid w:val="0096531A"/>
    <w:rsid w:val="00991579"/>
    <w:rsid w:val="009E344D"/>
    <w:rsid w:val="009E7684"/>
    <w:rsid w:val="009F016F"/>
    <w:rsid w:val="00A037FB"/>
    <w:rsid w:val="00A058D0"/>
    <w:rsid w:val="00A0762A"/>
    <w:rsid w:val="00A229A2"/>
    <w:rsid w:val="00A260E4"/>
    <w:rsid w:val="00A30FB2"/>
    <w:rsid w:val="00A35AED"/>
    <w:rsid w:val="00A77CFE"/>
    <w:rsid w:val="00A974A2"/>
    <w:rsid w:val="00AA4DBA"/>
    <w:rsid w:val="00AB6B95"/>
    <w:rsid w:val="00AE3C4D"/>
    <w:rsid w:val="00AE6D91"/>
    <w:rsid w:val="00AF04E3"/>
    <w:rsid w:val="00AF29DD"/>
    <w:rsid w:val="00AF2B76"/>
    <w:rsid w:val="00B12B2B"/>
    <w:rsid w:val="00B418E8"/>
    <w:rsid w:val="00B67BC4"/>
    <w:rsid w:val="00B8618E"/>
    <w:rsid w:val="00B96FDC"/>
    <w:rsid w:val="00BC1238"/>
    <w:rsid w:val="00BD4616"/>
    <w:rsid w:val="00BD602A"/>
    <w:rsid w:val="00C11202"/>
    <w:rsid w:val="00C213D4"/>
    <w:rsid w:val="00C213EF"/>
    <w:rsid w:val="00C31778"/>
    <w:rsid w:val="00C322B7"/>
    <w:rsid w:val="00C36B9C"/>
    <w:rsid w:val="00C46039"/>
    <w:rsid w:val="00C46547"/>
    <w:rsid w:val="00C472AF"/>
    <w:rsid w:val="00C80877"/>
    <w:rsid w:val="00C90EE7"/>
    <w:rsid w:val="00CA0751"/>
    <w:rsid w:val="00CB3B94"/>
    <w:rsid w:val="00CB5627"/>
    <w:rsid w:val="00CC33DF"/>
    <w:rsid w:val="00CD6736"/>
    <w:rsid w:val="00D21A1C"/>
    <w:rsid w:val="00D46D26"/>
    <w:rsid w:val="00D549C9"/>
    <w:rsid w:val="00D57FB1"/>
    <w:rsid w:val="00D812EE"/>
    <w:rsid w:val="00D90CFB"/>
    <w:rsid w:val="00DB4A8E"/>
    <w:rsid w:val="00DB557B"/>
    <w:rsid w:val="00DB732D"/>
    <w:rsid w:val="00DC2DF0"/>
    <w:rsid w:val="00DD79BC"/>
    <w:rsid w:val="00DE437B"/>
    <w:rsid w:val="00DE4481"/>
    <w:rsid w:val="00DE533C"/>
    <w:rsid w:val="00DE7D44"/>
    <w:rsid w:val="00E05011"/>
    <w:rsid w:val="00E42533"/>
    <w:rsid w:val="00E7615A"/>
    <w:rsid w:val="00E76B23"/>
    <w:rsid w:val="00EB16D4"/>
    <w:rsid w:val="00EC2865"/>
    <w:rsid w:val="00ED03B9"/>
    <w:rsid w:val="00ED113D"/>
    <w:rsid w:val="00ED3419"/>
    <w:rsid w:val="00EE4B08"/>
    <w:rsid w:val="00EF10B7"/>
    <w:rsid w:val="00EF21BD"/>
    <w:rsid w:val="00EF66CE"/>
    <w:rsid w:val="00EF77D3"/>
    <w:rsid w:val="00F05767"/>
    <w:rsid w:val="00F06147"/>
    <w:rsid w:val="00F07450"/>
    <w:rsid w:val="00F13F6C"/>
    <w:rsid w:val="00F20530"/>
    <w:rsid w:val="00F25D61"/>
    <w:rsid w:val="00F31106"/>
    <w:rsid w:val="00F33D19"/>
    <w:rsid w:val="00F549D6"/>
    <w:rsid w:val="00F66D88"/>
    <w:rsid w:val="00F70A67"/>
    <w:rsid w:val="00F83E33"/>
    <w:rsid w:val="00FB0ACE"/>
    <w:rsid w:val="00FC7D17"/>
    <w:rsid w:val="00FD53F8"/>
    <w:rsid w:val="00FE2612"/>
    <w:rsid w:val="00FE3076"/>
    <w:rsid w:val="00FE5037"/>
    <w:rsid w:val="00FF15A2"/>
    <w:rsid w:val="00FF47DE"/>
    <w:rsid w:val="00FF4AD6"/>
    <w:rsid w:val="00FF5F5A"/>
    <w:rsid w:val="00F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F38"/>
    <w:pPr>
      <w:jc w:val="both"/>
    </w:pPr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83E33"/>
    <w:pPr>
      <w:keepNext/>
      <w:keepLines/>
      <w:spacing w:before="120" w:after="240"/>
      <w:outlineLvl w:val="0"/>
    </w:pPr>
    <w:rPr>
      <w:rFonts w:eastAsiaTheme="majorEastAsia" w:cstheme="majorBidi"/>
      <w:b/>
      <w:color w:val="EE000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3E33"/>
    <w:pPr>
      <w:keepNext/>
      <w:keepLines/>
      <w:spacing w:before="120" w:after="120"/>
      <w:outlineLvl w:val="1"/>
    </w:pPr>
    <w:rPr>
      <w:rFonts w:eastAsiaTheme="majorEastAsia" w:cstheme="majorBidi"/>
      <w:b/>
      <w:color w:val="EE0000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6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6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6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6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6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6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6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3E33"/>
    <w:rPr>
      <w:rFonts w:ascii="Calibri" w:eastAsiaTheme="majorEastAsia" w:hAnsi="Calibri" w:cstheme="majorBidi"/>
      <w:b/>
      <w:color w:val="EE000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83E33"/>
    <w:rPr>
      <w:rFonts w:ascii="Calibri" w:eastAsiaTheme="majorEastAsia" w:hAnsi="Calibri" w:cstheme="majorBidi"/>
      <w:b/>
      <w:color w:val="EE0000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6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6D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6D2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6D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6D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6D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6D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6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6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6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6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6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6D2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6D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6D2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6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6D2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6D2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13F6C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13F6C"/>
    <w:rPr>
      <w:color w:val="605E5C"/>
      <w:shd w:val="clear" w:color="auto" w:fill="E1DFDD"/>
    </w:rPr>
  </w:style>
  <w:style w:type="table" w:customStyle="1" w:styleId="ListTable4Accent2">
    <w:name w:val="List Table 4 Accent 2"/>
    <w:basedOn w:val="Tablanormal"/>
    <w:uiPriority w:val="49"/>
    <w:rsid w:val="008368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customStyle="1" w:styleId="ListTable3Accent2">
    <w:name w:val="List Table 3 Accent 2"/>
    <w:basedOn w:val="Tablanormal"/>
    <w:uiPriority w:val="48"/>
    <w:rsid w:val="008368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customStyle="1" w:styleId="ListTable6ColorfulAccent2">
    <w:name w:val="List Table 6 Colorful Accent 2"/>
    <w:basedOn w:val="Tablanormal"/>
    <w:uiPriority w:val="51"/>
    <w:rsid w:val="00836861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Ind w:w="0" w:type="dxa"/>
      <w:tblBorders>
        <w:top w:val="single" w:sz="4" w:space="0" w:color="E97132" w:themeColor="accent2"/>
        <w:bottom w:val="single" w:sz="4" w:space="0" w:color="E9713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customStyle="1" w:styleId="ListTable2Accent2">
    <w:name w:val="List Table 2 Accent 2"/>
    <w:basedOn w:val="Tablanormal"/>
    <w:uiPriority w:val="47"/>
    <w:rsid w:val="00ED3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customStyle="1" w:styleId="GridTable1LightAccent2">
    <w:name w:val="Grid Table 1 Light Accent 2"/>
    <w:basedOn w:val="Tablanormal"/>
    <w:uiPriority w:val="46"/>
    <w:rsid w:val="00AE3C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5077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738"/>
  </w:style>
  <w:style w:type="paragraph" w:styleId="Piedepgina">
    <w:name w:val="footer"/>
    <w:basedOn w:val="Normal"/>
    <w:link w:val="PiedepginaCar"/>
    <w:uiPriority w:val="99"/>
    <w:unhideWhenUsed/>
    <w:rsid w:val="005077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738"/>
  </w:style>
  <w:style w:type="paragraph" w:styleId="Textonotapie">
    <w:name w:val="footnote text"/>
    <w:basedOn w:val="Normal"/>
    <w:link w:val="TextonotapieCar"/>
    <w:uiPriority w:val="99"/>
    <w:unhideWhenUsed/>
    <w:rsid w:val="00D57FB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57FB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7FB1"/>
    <w:rPr>
      <w:vertAlign w:val="superscript"/>
    </w:rPr>
  </w:style>
  <w:style w:type="table" w:customStyle="1" w:styleId="GridTable6ColorfulAccent2">
    <w:name w:val="Grid Table 6 Colorful Accent 2"/>
    <w:basedOn w:val="Tablanormal"/>
    <w:uiPriority w:val="51"/>
    <w:rsid w:val="00A35AED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Ind w:w="0" w:type="dxa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paragraph" w:styleId="TDC1">
    <w:name w:val="toc 1"/>
    <w:basedOn w:val="Normal"/>
    <w:next w:val="Normal"/>
    <w:autoRedefine/>
    <w:uiPriority w:val="39"/>
    <w:unhideWhenUsed/>
    <w:rsid w:val="0052722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527225"/>
    <w:pPr>
      <w:spacing w:after="100"/>
      <w:ind w:left="240"/>
    </w:pPr>
  </w:style>
  <w:style w:type="paragraph" w:customStyle="1" w:styleId="Cabeceraorganizacion">
    <w:name w:val="Cabecera organizacion"/>
    <w:semiHidden/>
    <w:locked/>
    <w:rsid w:val="009E7684"/>
    <w:pPr>
      <w:spacing w:after="0" w:line="240" w:lineRule="auto"/>
    </w:pPr>
    <w:rPr>
      <w:rFonts w:ascii="Arial" w:eastAsia="Times New Roman" w:hAnsi="Arial" w:cs="Times New Roman"/>
      <w:b/>
      <w:kern w:val="0"/>
      <w:sz w:val="22"/>
      <w:lang w:eastAsia="es-ES"/>
    </w:rPr>
  </w:style>
  <w:style w:type="paragraph" w:customStyle="1" w:styleId="Cabecerasecretariaydireccion">
    <w:name w:val="Cabecera secretaria y direccion"/>
    <w:link w:val="CabecerasecretariaydireccionCar"/>
    <w:semiHidden/>
    <w:locked/>
    <w:rsid w:val="009E7684"/>
    <w:pPr>
      <w:spacing w:after="100" w:line="200" w:lineRule="exact"/>
      <w:jc w:val="both"/>
    </w:pPr>
    <w:rPr>
      <w:rFonts w:ascii="Arial" w:eastAsia="Times New Roman" w:hAnsi="Arial" w:cs="Times New Roman"/>
      <w:spacing w:val="-6"/>
      <w:kern w:val="0"/>
      <w:sz w:val="20"/>
      <w:lang w:eastAsia="es-ES"/>
    </w:rPr>
  </w:style>
  <w:style w:type="character" w:customStyle="1" w:styleId="CabecerasecretariaydireccionCar">
    <w:name w:val="Cabecera secretaria y direccion Car"/>
    <w:basedOn w:val="Fuentedeprrafopredeter"/>
    <w:link w:val="Cabecerasecretariaydireccion"/>
    <w:semiHidden/>
    <w:rsid w:val="009E7684"/>
    <w:rPr>
      <w:rFonts w:ascii="Arial" w:eastAsia="Times New Roman" w:hAnsi="Arial" w:cs="Times New Roman"/>
      <w:spacing w:val="-6"/>
      <w:kern w:val="0"/>
      <w:sz w:val="20"/>
      <w:lang w:eastAsia="es-ES"/>
    </w:rPr>
  </w:style>
  <w:style w:type="paragraph" w:customStyle="1" w:styleId="CabeceraURL">
    <w:name w:val="Cabecera URL"/>
    <w:basedOn w:val="Cabeceraorganizacion"/>
    <w:link w:val="CabeceraURLCar"/>
    <w:semiHidden/>
    <w:locked/>
    <w:rsid w:val="009E7684"/>
    <w:pPr>
      <w:jc w:val="right"/>
    </w:pPr>
  </w:style>
  <w:style w:type="paragraph" w:customStyle="1" w:styleId="DestinatarioyDatosencabezado">
    <w:name w:val="Destinatario y Datos encabezado"/>
    <w:basedOn w:val="Normal"/>
    <w:locked/>
    <w:rsid w:val="009E7684"/>
    <w:pPr>
      <w:spacing w:after="0" w:line="252" w:lineRule="auto"/>
    </w:pPr>
    <w:rPr>
      <w:rFonts w:ascii="Arial Narrow" w:eastAsia="Times New Roman" w:hAnsi="Arial Narrow" w:cs="Times New Roman"/>
      <w:kern w:val="0"/>
      <w:lang w:eastAsia="es-ES"/>
    </w:rPr>
  </w:style>
  <w:style w:type="paragraph" w:customStyle="1" w:styleId="CabeceraseparacionURL">
    <w:name w:val="Cabecera separacion URL"/>
    <w:link w:val="CabeceraseparacionURLCarCar"/>
    <w:semiHidden/>
    <w:locked/>
    <w:rsid w:val="009E7684"/>
    <w:pPr>
      <w:spacing w:after="0" w:line="240" w:lineRule="auto"/>
      <w:jc w:val="right"/>
    </w:pPr>
    <w:rPr>
      <w:rFonts w:ascii="Arial" w:eastAsia="Times New Roman" w:hAnsi="Arial" w:cs="Times New Roman"/>
      <w:kern w:val="0"/>
      <w:sz w:val="22"/>
      <w:lang w:eastAsia="es-ES"/>
    </w:rPr>
  </w:style>
  <w:style w:type="character" w:customStyle="1" w:styleId="CabeceraURLCar">
    <w:name w:val="Cabecera URL Car"/>
    <w:basedOn w:val="Fuentedeprrafopredeter"/>
    <w:link w:val="CabeceraURL"/>
    <w:rsid w:val="009E7684"/>
    <w:rPr>
      <w:rFonts w:ascii="Arial" w:eastAsia="Times New Roman" w:hAnsi="Arial" w:cs="Times New Roman"/>
      <w:b/>
      <w:kern w:val="0"/>
      <w:sz w:val="22"/>
      <w:lang w:eastAsia="es-ES"/>
    </w:rPr>
  </w:style>
  <w:style w:type="character" w:customStyle="1" w:styleId="CabeceraseparacionURLCarCar">
    <w:name w:val="Cabecera separacion URL Car Car"/>
    <w:basedOn w:val="Fuentedeprrafopredeter"/>
    <w:link w:val="CabeceraseparacionURL"/>
    <w:semiHidden/>
    <w:rsid w:val="009E7684"/>
    <w:rPr>
      <w:rFonts w:ascii="Arial" w:eastAsia="Times New Roman" w:hAnsi="Arial" w:cs="Times New Roman"/>
      <w:kern w:val="0"/>
      <w:sz w:val="2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60369-AD84-4EC8-B35E-1EABCAB2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1518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MORILLO BALADO</dc:creator>
  <cp:lastModifiedBy>50968481</cp:lastModifiedBy>
  <cp:revision>2</cp:revision>
  <cp:lastPrinted>2025-10-16T15:29:00Z</cp:lastPrinted>
  <dcterms:created xsi:type="dcterms:W3CDTF">2025-10-17T07:44:00Z</dcterms:created>
  <dcterms:modified xsi:type="dcterms:W3CDTF">2025-10-17T07:44:00Z</dcterms:modified>
</cp:coreProperties>
</file>